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4"/>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4"/>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4"/>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4"/>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4"/>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4"/>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4"/>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4"/>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4"/>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4"/>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4"/>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pPr>
        <w:pStyle w:val="4"/>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21</w:t>
      </w:r>
      <w:r>
        <w:fldChar w:fldCharType="end"/>
      </w:r>
      <w:r>
        <w:fldChar w:fldCharType="end"/>
      </w:r>
    </w:p>
    <w:p>
      <w:pPr>
        <w:pStyle w:val="4"/>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22</w:t>
      </w:r>
      <w:r>
        <w:fldChar w:fldCharType="end"/>
      </w:r>
      <w:r>
        <w:fldChar w:fldCharType="end"/>
      </w:r>
    </w:p>
    <w:p>
      <w:pPr>
        <w:pStyle w:val="4"/>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24</w:t>
      </w:r>
      <w:r>
        <w:fldChar w:fldCharType="end"/>
      </w:r>
      <w:r>
        <w:fldChar w:fldCharType="end"/>
      </w:r>
    </w:p>
    <w:p>
      <w:pPr>
        <w:pStyle w:val="4"/>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24</w:t>
      </w:r>
      <w:r>
        <w:fldChar w:fldCharType="end"/>
      </w:r>
      <w:r>
        <w:fldChar w:fldCharType="end"/>
      </w:r>
    </w:p>
    <w:p>
      <w:pPr>
        <w:pStyle w:val="4"/>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25</w:t>
      </w:r>
      <w:r>
        <w:fldChar w:fldCharType="end"/>
      </w:r>
      <w:r>
        <w:fldChar w:fldCharType="end"/>
      </w:r>
    </w:p>
    <w:p>
      <w:pPr>
        <w:pStyle w:val="4"/>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26</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440保定市徐水区地方金融监督管理局</w:t>
            </w:r>
          </w:p>
        </w:tc>
        <w:tc>
          <w:tcPr>
            <w:tcW w:w="2126" w:type="dxa"/>
            <w:tcBorders>
              <w:top w:val="single" w:color="FFFFFF" w:sz="6" w:space="0"/>
              <w:left w:val="single" w:color="FFFFFF" w:sz="6" w:space="0"/>
              <w:right w:val="single" w:color="FFFFFF" w:sz="6" w:space="0"/>
            </w:tcBorders>
            <w:vAlign w:val="center"/>
          </w:tcPr>
          <w:p>
            <w:pPr>
              <w:pStyle w:val="10"/>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120.05</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9.15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r>
              <w:t>100.29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120.05</w:t>
            </w:r>
          </w:p>
        </w:tc>
        <w:tc>
          <w:tcPr>
            <w:tcW w:w="4535" w:type="dxa"/>
            <w:vAlign w:val="center"/>
          </w:tcPr>
          <w:p>
            <w:pPr>
              <w:pStyle w:val="16"/>
            </w:pPr>
            <w:r>
              <w:t>本年支出合计</w:t>
            </w:r>
          </w:p>
        </w:tc>
        <w:tc>
          <w:tcPr>
            <w:tcW w:w="2126" w:type="dxa"/>
            <w:vAlign w:val="center"/>
          </w:tcPr>
          <w:p>
            <w:pPr>
              <w:pStyle w:val="17"/>
            </w:pPr>
            <w:r>
              <w:t>120.05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120.05</w:t>
            </w:r>
          </w:p>
        </w:tc>
        <w:tc>
          <w:tcPr>
            <w:tcW w:w="4535" w:type="dxa"/>
            <w:vAlign w:val="center"/>
          </w:tcPr>
          <w:p>
            <w:pPr>
              <w:pStyle w:val="16"/>
            </w:pPr>
            <w:r>
              <w:t>支出总计</w:t>
            </w:r>
          </w:p>
        </w:tc>
        <w:tc>
          <w:tcPr>
            <w:tcW w:w="2126" w:type="dxa"/>
            <w:vAlign w:val="center"/>
          </w:tcPr>
          <w:p>
            <w:pPr>
              <w:pStyle w:val="17"/>
            </w:pPr>
            <w:r>
              <w:t>120.05</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440保定市徐水区地方金融监督管理局</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120.05</w:t>
            </w:r>
          </w:p>
        </w:tc>
        <w:tc>
          <w:tcPr>
            <w:tcW w:w="1134" w:type="dxa"/>
            <w:vAlign w:val="center"/>
          </w:tcPr>
          <w:p>
            <w:pPr>
              <w:pStyle w:val="17"/>
            </w:pPr>
            <w:r>
              <w:t>120.05</w:t>
            </w:r>
          </w:p>
        </w:tc>
        <w:tc>
          <w:tcPr>
            <w:tcW w:w="1134" w:type="dxa"/>
            <w:vAlign w:val="center"/>
          </w:tcPr>
          <w:p>
            <w:pPr>
              <w:pStyle w:val="17"/>
            </w:pPr>
            <w:r>
              <w:t>120.05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9.15</w:t>
            </w:r>
          </w:p>
        </w:tc>
        <w:tc>
          <w:tcPr>
            <w:tcW w:w="1134" w:type="dxa"/>
            <w:vAlign w:val="center"/>
          </w:tcPr>
          <w:p>
            <w:pPr>
              <w:pStyle w:val="13"/>
            </w:pPr>
            <w:r>
              <w:t>9.15</w:t>
            </w:r>
          </w:p>
        </w:tc>
        <w:tc>
          <w:tcPr>
            <w:tcW w:w="1134" w:type="dxa"/>
            <w:vAlign w:val="center"/>
          </w:tcPr>
          <w:p>
            <w:pPr>
              <w:pStyle w:val="13"/>
            </w:pPr>
            <w:r>
              <w:t>9.15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9.15</w:t>
            </w:r>
          </w:p>
        </w:tc>
        <w:tc>
          <w:tcPr>
            <w:tcW w:w="1134" w:type="dxa"/>
            <w:vAlign w:val="center"/>
          </w:tcPr>
          <w:p>
            <w:pPr>
              <w:pStyle w:val="13"/>
            </w:pPr>
            <w:r>
              <w:t>9.15</w:t>
            </w:r>
          </w:p>
        </w:tc>
        <w:tc>
          <w:tcPr>
            <w:tcW w:w="1134" w:type="dxa"/>
            <w:vAlign w:val="center"/>
          </w:tcPr>
          <w:p>
            <w:pPr>
              <w:pStyle w:val="13"/>
            </w:pPr>
            <w:r>
              <w:t>9.15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9.15</w:t>
            </w:r>
          </w:p>
        </w:tc>
        <w:tc>
          <w:tcPr>
            <w:tcW w:w="1134" w:type="dxa"/>
            <w:vAlign w:val="center"/>
          </w:tcPr>
          <w:p>
            <w:pPr>
              <w:pStyle w:val="13"/>
            </w:pPr>
            <w:r>
              <w:t>9.15</w:t>
            </w:r>
          </w:p>
        </w:tc>
        <w:tc>
          <w:tcPr>
            <w:tcW w:w="1134" w:type="dxa"/>
            <w:vAlign w:val="center"/>
          </w:tcPr>
          <w:p>
            <w:pPr>
              <w:pStyle w:val="13"/>
            </w:pPr>
            <w:r>
              <w:t>9.15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3.10</w:t>
            </w:r>
          </w:p>
        </w:tc>
        <w:tc>
          <w:tcPr>
            <w:tcW w:w="1134" w:type="dxa"/>
            <w:vAlign w:val="center"/>
          </w:tcPr>
          <w:p>
            <w:pPr>
              <w:pStyle w:val="13"/>
            </w:pPr>
            <w:r>
              <w:t>3.10</w:t>
            </w:r>
          </w:p>
        </w:tc>
        <w:tc>
          <w:tcPr>
            <w:tcW w:w="1134" w:type="dxa"/>
            <w:vAlign w:val="center"/>
          </w:tcPr>
          <w:p>
            <w:pPr>
              <w:pStyle w:val="13"/>
            </w:pPr>
            <w:r>
              <w:t>3.10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3.10</w:t>
            </w:r>
          </w:p>
        </w:tc>
        <w:tc>
          <w:tcPr>
            <w:tcW w:w="1134" w:type="dxa"/>
            <w:vAlign w:val="center"/>
          </w:tcPr>
          <w:p>
            <w:pPr>
              <w:pStyle w:val="13"/>
            </w:pPr>
            <w:r>
              <w:t>3.10</w:t>
            </w:r>
          </w:p>
        </w:tc>
        <w:tc>
          <w:tcPr>
            <w:tcW w:w="1134" w:type="dxa"/>
            <w:vAlign w:val="center"/>
          </w:tcPr>
          <w:p>
            <w:pPr>
              <w:pStyle w:val="13"/>
            </w:pPr>
            <w:r>
              <w:t>3.10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3.10</w:t>
            </w:r>
          </w:p>
        </w:tc>
        <w:tc>
          <w:tcPr>
            <w:tcW w:w="1134" w:type="dxa"/>
            <w:vAlign w:val="center"/>
          </w:tcPr>
          <w:p>
            <w:pPr>
              <w:pStyle w:val="13"/>
            </w:pPr>
            <w:r>
              <w:t>3.10</w:t>
            </w:r>
          </w:p>
        </w:tc>
        <w:tc>
          <w:tcPr>
            <w:tcW w:w="1134" w:type="dxa"/>
            <w:vAlign w:val="center"/>
          </w:tcPr>
          <w:p>
            <w:pPr>
              <w:pStyle w:val="13"/>
            </w:pPr>
            <w:r>
              <w:t>3.10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217</w:t>
            </w:r>
          </w:p>
        </w:tc>
        <w:tc>
          <w:tcPr>
            <w:tcW w:w="1559" w:type="dxa"/>
            <w:vAlign w:val="center"/>
          </w:tcPr>
          <w:p>
            <w:pPr>
              <w:pStyle w:val="14"/>
            </w:pPr>
            <w:r>
              <w:t>金融支出</w:t>
            </w:r>
          </w:p>
        </w:tc>
        <w:tc>
          <w:tcPr>
            <w:tcW w:w="1134" w:type="dxa"/>
            <w:vAlign w:val="center"/>
          </w:tcPr>
          <w:p>
            <w:pPr>
              <w:pStyle w:val="13"/>
            </w:pPr>
            <w:r>
              <w:t>100.29</w:t>
            </w:r>
          </w:p>
        </w:tc>
        <w:tc>
          <w:tcPr>
            <w:tcW w:w="1134" w:type="dxa"/>
            <w:vAlign w:val="center"/>
          </w:tcPr>
          <w:p>
            <w:pPr>
              <w:pStyle w:val="13"/>
            </w:pPr>
            <w:r>
              <w:t>100.29</w:t>
            </w:r>
          </w:p>
        </w:tc>
        <w:tc>
          <w:tcPr>
            <w:tcW w:w="1134" w:type="dxa"/>
            <w:vAlign w:val="center"/>
          </w:tcPr>
          <w:p>
            <w:pPr>
              <w:pStyle w:val="13"/>
            </w:pPr>
            <w:r>
              <w:t>100.29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21701</w:t>
            </w:r>
          </w:p>
        </w:tc>
        <w:tc>
          <w:tcPr>
            <w:tcW w:w="1559" w:type="dxa"/>
            <w:vAlign w:val="center"/>
          </w:tcPr>
          <w:p>
            <w:pPr>
              <w:pStyle w:val="14"/>
            </w:pPr>
            <w:r>
              <w:t>金融部门行政支出</w:t>
            </w:r>
          </w:p>
        </w:tc>
        <w:tc>
          <w:tcPr>
            <w:tcW w:w="1134" w:type="dxa"/>
            <w:vAlign w:val="center"/>
          </w:tcPr>
          <w:p>
            <w:pPr>
              <w:pStyle w:val="13"/>
            </w:pPr>
            <w:r>
              <w:t>100.29</w:t>
            </w:r>
          </w:p>
        </w:tc>
        <w:tc>
          <w:tcPr>
            <w:tcW w:w="1134" w:type="dxa"/>
            <w:vAlign w:val="center"/>
          </w:tcPr>
          <w:p>
            <w:pPr>
              <w:pStyle w:val="13"/>
            </w:pPr>
            <w:r>
              <w:t>100.29</w:t>
            </w:r>
          </w:p>
        </w:tc>
        <w:tc>
          <w:tcPr>
            <w:tcW w:w="1134" w:type="dxa"/>
            <w:vAlign w:val="center"/>
          </w:tcPr>
          <w:p>
            <w:pPr>
              <w:pStyle w:val="13"/>
            </w:pPr>
            <w:r>
              <w:t>100.29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2170101</w:t>
            </w:r>
          </w:p>
        </w:tc>
        <w:tc>
          <w:tcPr>
            <w:tcW w:w="1559" w:type="dxa"/>
            <w:vAlign w:val="center"/>
          </w:tcPr>
          <w:p>
            <w:pPr>
              <w:pStyle w:val="14"/>
            </w:pPr>
            <w:r>
              <w:t>行政运行</w:t>
            </w:r>
          </w:p>
        </w:tc>
        <w:tc>
          <w:tcPr>
            <w:tcW w:w="1134" w:type="dxa"/>
            <w:vAlign w:val="center"/>
          </w:tcPr>
          <w:p>
            <w:pPr>
              <w:pStyle w:val="13"/>
            </w:pPr>
            <w:r>
              <w:t>87.69</w:t>
            </w:r>
          </w:p>
        </w:tc>
        <w:tc>
          <w:tcPr>
            <w:tcW w:w="1134" w:type="dxa"/>
            <w:vAlign w:val="center"/>
          </w:tcPr>
          <w:p>
            <w:pPr>
              <w:pStyle w:val="13"/>
            </w:pPr>
            <w:r>
              <w:t>87.69</w:t>
            </w:r>
          </w:p>
        </w:tc>
        <w:tc>
          <w:tcPr>
            <w:tcW w:w="1134" w:type="dxa"/>
            <w:vAlign w:val="center"/>
          </w:tcPr>
          <w:p>
            <w:pPr>
              <w:pStyle w:val="13"/>
            </w:pPr>
            <w:r>
              <w:t>87.69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2170102</w:t>
            </w:r>
          </w:p>
        </w:tc>
        <w:tc>
          <w:tcPr>
            <w:tcW w:w="1559" w:type="dxa"/>
            <w:vAlign w:val="center"/>
          </w:tcPr>
          <w:p>
            <w:pPr>
              <w:pStyle w:val="14"/>
            </w:pPr>
            <w:r>
              <w:t>一般行政管理事务</w:t>
            </w:r>
          </w:p>
        </w:tc>
        <w:tc>
          <w:tcPr>
            <w:tcW w:w="1134" w:type="dxa"/>
            <w:vAlign w:val="center"/>
          </w:tcPr>
          <w:p>
            <w:pPr>
              <w:pStyle w:val="13"/>
            </w:pPr>
            <w:r>
              <w:t>12.60</w:t>
            </w:r>
          </w:p>
        </w:tc>
        <w:tc>
          <w:tcPr>
            <w:tcW w:w="1134" w:type="dxa"/>
            <w:vAlign w:val="center"/>
          </w:tcPr>
          <w:p>
            <w:pPr>
              <w:pStyle w:val="13"/>
            </w:pPr>
            <w:r>
              <w:t>12.60</w:t>
            </w:r>
          </w:p>
        </w:tc>
        <w:tc>
          <w:tcPr>
            <w:tcW w:w="1134" w:type="dxa"/>
            <w:vAlign w:val="center"/>
          </w:tcPr>
          <w:p>
            <w:pPr>
              <w:pStyle w:val="13"/>
            </w:pPr>
            <w:r>
              <w:t>12.60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7.50</w:t>
            </w:r>
          </w:p>
        </w:tc>
        <w:tc>
          <w:tcPr>
            <w:tcW w:w="1134" w:type="dxa"/>
            <w:vAlign w:val="center"/>
          </w:tcPr>
          <w:p>
            <w:pPr>
              <w:pStyle w:val="13"/>
            </w:pPr>
            <w:r>
              <w:t>7.50</w:t>
            </w:r>
          </w:p>
        </w:tc>
        <w:tc>
          <w:tcPr>
            <w:tcW w:w="1134" w:type="dxa"/>
            <w:vAlign w:val="center"/>
          </w:tcPr>
          <w:p>
            <w:pPr>
              <w:pStyle w:val="13"/>
            </w:pPr>
            <w:r>
              <w:t>7.50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7.50</w:t>
            </w:r>
          </w:p>
        </w:tc>
        <w:tc>
          <w:tcPr>
            <w:tcW w:w="1134" w:type="dxa"/>
            <w:vAlign w:val="center"/>
          </w:tcPr>
          <w:p>
            <w:pPr>
              <w:pStyle w:val="13"/>
            </w:pPr>
            <w:r>
              <w:t>7.50</w:t>
            </w:r>
          </w:p>
        </w:tc>
        <w:tc>
          <w:tcPr>
            <w:tcW w:w="1134" w:type="dxa"/>
            <w:vAlign w:val="center"/>
          </w:tcPr>
          <w:p>
            <w:pPr>
              <w:pStyle w:val="13"/>
            </w:pPr>
            <w:r>
              <w:t>7.50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7.50</w:t>
            </w:r>
          </w:p>
        </w:tc>
        <w:tc>
          <w:tcPr>
            <w:tcW w:w="1134" w:type="dxa"/>
            <w:vAlign w:val="center"/>
          </w:tcPr>
          <w:p>
            <w:pPr>
              <w:pStyle w:val="13"/>
            </w:pPr>
            <w:r>
              <w:t>7.50</w:t>
            </w:r>
          </w:p>
        </w:tc>
        <w:tc>
          <w:tcPr>
            <w:tcW w:w="1134" w:type="dxa"/>
            <w:vAlign w:val="center"/>
          </w:tcPr>
          <w:p>
            <w:pPr>
              <w:pStyle w:val="13"/>
            </w:pPr>
            <w:r>
              <w:t>7.50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440保定市徐水区地方金融监督管理局</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120.05</w:t>
            </w:r>
          </w:p>
        </w:tc>
        <w:tc>
          <w:tcPr>
            <w:tcW w:w="1361" w:type="dxa"/>
            <w:vAlign w:val="center"/>
          </w:tcPr>
          <w:p>
            <w:pPr>
              <w:pStyle w:val="17"/>
            </w:pPr>
            <w:r>
              <w:t>107.45</w:t>
            </w:r>
          </w:p>
        </w:tc>
        <w:tc>
          <w:tcPr>
            <w:tcW w:w="1361" w:type="dxa"/>
            <w:vAlign w:val="center"/>
          </w:tcPr>
          <w:p>
            <w:pPr>
              <w:pStyle w:val="17"/>
            </w:pPr>
            <w:r>
              <w:t>12.60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9.15</w:t>
            </w:r>
          </w:p>
        </w:tc>
        <w:tc>
          <w:tcPr>
            <w:tcW w:w="1361" w:type="dxa"/>
            <w:vAlign w:val="center"/>
          </w:tcPr>
          <w:p>
            <w:pPr>
              <w:pStyle w:val="13"/>
            </w:pPr>
            <w:r>
              <w:t>9.15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9.15</w:t>
            </w:r>
          </w:p>
        </w:tc>
        <w:tc>
          <w:tcPr>
            <w:tcW w:w="1361" w:type="dxa"/>
            <w:vAlign w:val="center"/>
          </w:tcPr>
          <w:p>
            <w:pPr>
              <w:pStyle w:val="13"/>
            </w:pPr>
            <w:r>
              <w:t>9.15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9.15</w:t>
            </w:r>
          </w:p>
        </w:tc>
        <w:tc>
          <w:tcPr>
            <w:tcW w:w="1361" w:type="dxa"/>
            <w:vAlign w:val="center"/>
          </w:tcPr>
          <w:p>
            <w:pPr>
              <w:pStyle w:val="13"/>
            </w:pPr>
            <w:r>
              <w:t>9.15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3.10</w:t>
            </w:r>
          </w:p>
        </w:tc>
        <w:tc>
          <w:tcPr>
            <w:tcW w:w="1361" w:type="dxa"/>
            <w:vAlign w:val="center"/>
          </w:tcPr>
          <w:p>
            <w:pPr>
              <w:pStyle w:val="13"/>
            </w:pPr>
            <w:r>
              <w:t>3.10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3.10</w:t>
            </w:r>
          </w:p>
        </w:tc>
        <w:tc>
          <w:tcPr>
            <w:tcW w:w="1361" w:type="dxa"/>
            <w:vAlign w:val="center"/>
          </w:tcPr>
          <w:p>
            <w:pPr>
              <w:pStyle w:val="13"/>
            </w:pPr>
            <w:r>
              <w:t>3.10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3.10</w:t>
            </w:r>
          </w:p>
        </w:tc>
        <w:tc>
          <w:tcPr>
            <w:tcW w:w="1361" w:type="dxa"/>
            <w:vAlign w:val="center"/>
          </w:tcPr>
          <w:p>
            <w:pPr>
              <w:pStyle w:val="13"/>
            </w:pPr>
            <w:r>
              <w:t>3.10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217</w:t>
            </w:r>
          </w:p>
        </w:tc>
        <w:tc>
          <w:tcPr>
            <w:tcW w:w="4535" w:type="dxa"/>
            <w:vAlign w:val="center"/>
          </w:tcPr>
          <w:p>
            <w:pPr>
              <w:pStyle w:val="14"/>
            </w:pPr>
            <w:r>
              <w:t>金融支出</w:t>
            </w:r>
          </w:p>
        </w:tc>
        <w:tc>
          <w:tcPr>
            <w:tcW w:w="1361" w:type="dxa"/>
            <w:vAlign w:val="center"/>
          </w:tcPr>
          <w:p>
            <w:pPr>
              <w:pStyle w:val="13"/>
            </w:pPr>
            <w:r>
              <w:t>100.29</w:t>
            </w:r>
          </w:p>
        </w:tc>
        <w:tc>
          <w:tcPr>
            <w:tcW w:w="1361" w:type="dxa"/>
            <w:vAlign w:val="center"/>
          </w:tcPr>
          <w:p>
            <w:pPr>
              <w:pStyle w:val="13"/>
            </w:pPr>
            <w:r>
              <w:t>87.69</w:t>
            </w:r>
          </w:p>
        </w:tc>
        <w:tc>
          <w:tcPr>
            <w:tcW w:w="1361" w:type="dxa"/>
            <w:vAlign w:val="center"/>
          </w:tcPr>
          <w:p>
            <w:pPr>
              <w:pStyle w:val="13"/>
            </w:pPr>
            <w:r>
              <w:t>12.60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21701</w:t>
            </w:r>
          </w:p>
        </w:tc>
        <w:tc>
          <w:tcPr>
            <w:tcW w:w="4535" w:type="dxa"/>
            <w:vAlign w:val="center"/>
          </w:tcPr>
          <w:p>
            <w:pPr>
              <w:pStyle w:val="14"/>
            </w:pPr>
            <w:r>
              <w:t>金融部门行政支出</w:t>
            </w:r>
          </w:p>
        </w:tc>
        <w:tc>
          <w:tcPr>
            <w:tcW w:w="1361" w:type="dxa"/>
            <w:vAlign w:val="center"/>
          </w:tcPr>
          <w:p>
            <w:pPr>
              <w:pStyle w:val="13"/>
            </w:pPr>
            <w:r>
              <w:t>100.29</w:t>
            </w:r>
          </w:p>
        </w:tc>
        <w:tc>
          <w:tcPr>
            <w:tcW w:w="1361" w:type="dxa"/>
            <w:vAlign w:val="center"/>
          </w:tcPr>
          <w:p>
            <w:pPr>
              <w:pStyle w:val="13"/>
            </w:pPr>
            <w:r>
              <w:t>87.69</w:t>
            </w:r>
          </w:p>
        </w:tc>
        <w:tc>
          <w:tcPr>
            <w:tcW w:w="1361" w:type="dxa"/>
            <w:vAlign w:val="center"/>
          </w:tcPr>
          <w:p>
            <w:pPr>
              <w:pStyle w:val="13"/>
            </w:pPr>
            <w:r>
              <w:t>12.60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2170101</w:t>
            </w:r>
          </w:p>
        </w:tc>
        <w:tc>
          <w:tcPr>
            <w:tcW w:w="4535" w:type="dxa"/>
            <w:vAlign w:val="center"/>
          </w:tcPr>
          <w:p>
            <w:pPr>
              <w:pStyle w:val="14"/>
            </w:pPr>
            <w:r>
              <w:t>行政运行</w:t>
            </w:r>
          </w:p>
        </w:tc>
        <w:tc>
          <w:tcPr>
            <w:tcW w:w="1361" w:type="dxa"/>
            <w:vAlign w:val="center"/>
          </w:tcPr>
          <w:p>
            <w:pPr>
              <w:pStyle w:val="13"/>
            </w:pPr>
            <w:r>
              <w:t>87.69</w:t>
            </w:r>
          </w:p>
        </w:tc>
        <w:tc>
          <w:tcPr>
            <w:tcW w:w="1361" w:type="dxa"/>
            <w:vAlign w:val="center"/>
          </w:tcPr>
          <w:p>
            <w:pPr>
              <w:pStyle w:val="13"/>
            </w:pPr>
            <w:r>
              <w:t>87.69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2170102</w:t>
            </w:r>
          </w:p>
        </w:tc>
        <w:tc>
          <w:tcPr>
            <w:tcW w:w="4535" w:type="dxa"/>
            <w:vAlign w:val="center"/>
          </w:tcPr>
          <w:p>
            <w:pPr>
              <w:pStyle w:val="14"/>
            </w:pPr>
            <w:r>
              <w:t>一般行政管理事务</w:t>
            </w:r>
          </w:p>
        </w:tc>
        <w:tc>
          <w:tcPr>
            <w:tcW w:w="1361" w:type="dxa"/>
            <w:vAlign w:val="center"/>
          </w:tcPr>
          <w:p>
            <w:pPr>
              <w:pStyle w:val="13"/>
            </w:pPr>
            <w:r>
              <w:t>12.60</w:t>
            </w:r>
          </w:p>
        </w:tc>
        <w:tc>
          <w:tcPr>
            <w:tcW w:w="1361" w:type="dxa"/>
            <w:vAlign w:val="center"/>
          </w:tcPr>
          <w:p>
            <w:pPr>
              <w:pStyle w:val="13"/>
            </w:pPr>
          </w:p>
        </w:tc>
        <w:tc>
          <w:tcPr>
            <w:tcW w:w="1361" w:type="dxa"/>
            <w:vAlign w:val="center"/>
          </w:tcPr>
          <w:p>
            <w:pPr>
              <w:pStyle w:val="13"/>
            </w:pPr>
            <w:r>
              <w:t>12.60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7.50</w:t>
            </w:r>
          </w:p>
        </w:tc>
        <w:tc>
          <w:tcPr>
            <w:tcW w:w="1361" w:type="dxa"/>
            <w:vAlign w:val="center"/>
          </w:tcPr>
          <w:p>
            <w:pPr>
              <w:pStyle w:val="13"/>
            </w:pPr>
            <w:r>
              <w:t>7.50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7.50</w:t>
            </w:r>
          </w:p>
        </w:tc>
        <w:tc>
          <w:tcPr>
            <w:tcW w:w="1361" w:type="dxa"/>
            <w:vAlign w:val="center"/>
          </w:tcPr>
          <w:p>
            <w:pPr>
              <w:pStyle w:val="13"/>
            </w:pPr>
            <w:r>
              <w:t>7.50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7.50</w:t>
            </w:r>
          </w:p>
        </w:tc>
        <w:tc>
          <w:tcPr>
            <w:tcW w:w="1361" w:type="dxa"/>
            <w:vAlign w:val="center"/>
          </w:tcPr>
          <w:p>
            <w:pPr>
              <w:pStyle w:val="13"/>
            </w:pPr>
            <w:r>
              <w:t>7.50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440保定市徐水区地方金融监督管理局</w:t>
            </w:r>
          </w:p>
        </w:tc>
        <w:tc>
          <w:tcPr>
            <w:tcW w:w="3402" w:type="dxa"/>
            <w:tcBorders>
              <w:top w:val="single" w:color="FFFFFF" w:sz="6" w:space="0"/>
              <w:left w:val="single" w:color="FFFFFF" w:sz="6" w:space="0"/>
              <w:right w:val="single" w:color="FFFFFF" w:sz="6" w:space="0"/>
            </w:tcBorders>
            <w:vAlign w:val="center"/>
          </w:tcPr>
          <w:p>
            <w:pPr>
              <w:pStyle w:val="10"/>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120.05</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9.15</w:t>
            </w:r>
          </w:p>
        </w:tc>
        <w:tc>
          <w:tcPr>
            <w:tcW w:w="1474" w:type="dxa"/>
            <w:vAlign w:val="center"/>
          </w:tcPr>
          <w:p>
            <w:pPr>
              <w:pStyle w:val="13"/>
            </w:pPr>
            <w:r>
              <w:t>9.15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3.10</w:t>
            </w:r>
          </w:p>
        </w:tc>
        <w:tc>
          <w:tcPr>
            <w:tcW w:w="1474" w:type="dxa"/>
            <w:vAlign w:val="center"/>
          </w:tcPr>
          <w:p>
            <w:pPr>
              <w:pStyle w:val="13"/>
            </w:pPr>
            <w:r>
              <w:t>3.10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r>
              <w:t>100.29</w:t>
            </w:r>
          </w:p>
        </w:tc>
        <w:tc>
          <w:tcPr>
            <w:tcW w:w="1474" w:type="dxa"/>
            <w:vAlign w:val="center"/>
          </w:tcPr>
          <w:p>
            <w:pPr>
              <w:pStyle w:val="13"/>
            </w:pPr>
            <w:r>
              <w:t>100.29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7.50</w:t>
            </w:r>
          </w:p>
        </w:tc>
        <w:tc>
          <w:tcPr>
            <w:tcW w:w="1474" w:type="dxa"/>
            <w:vAlign w:val="center"/>
          </w:tcPr>
          <w:p>
            <w:pPr>
              <w:pStyle w:val="13"/>
            </w:pPr>
            <w:r>
              <w:t>7.50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120.05</w:t>
            </w:r>
          </w:p>
        </w:tc>
        <w:tc>
          <w:tcPr>
            <w:tcW w:w="3402" w:type="dxa"/>
            <w:vAlign w:val="center"/>
          </w:tcPr>
          <w:p>
            <w:pPr>
              <w:pStyle w:val="16"/>
            </w:pPr>
            <w:r>
              <w:t>本年支出合计</w:t>
            </w:r>
          </w:p>
        </w:tc>
        <w:tc>
          <w:tcPr>
            <w:tcW w:w="1474" w:type="dxa"/>
            <w:vAlign w:val="center"/>
          </w:tcPr>
          <w:p>
            <w:pPr>
              <w:pStyle w:val="17"/>
            </w:pPr>
            <w:r>
              <w:t>120.05</w:t>
            </w:r>
          </w:p>
        </w:tc>
        <w:tc>
          <w:tcPr>
            <w:tcW w:w="1474" w:type="dxa"/>
            <w:vAlign w:val="center"/>
          </w:tcPr>
          <w:p>
            <w:pPr>
              <w:pStyle w:val="17"/>
            </w:pPr>
            <w:r>
              <w:t>120.05</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120.05</w:t>
            </w:r>
          </w:p>
        </w:tc>
        <w:tc>
          <w:tcPr>
            <w:tcW w:w="3402" w:type="dxa"/>
            <w:vAlign w:val="center"/>
          </w:tcPr>
          <w:p>
            <w:pPr>
              <w:pStyle w:val="16"/>
            </w:pPr>
            <w:r>
              <w:t>支出总计</w:t>
            </w:r>
          </w:p>
        </w:tc>
        <w:tc>
          <w:tcPr>
            <w:tcW w:w="1474" w:type="dxa"/>
            <w:vAlign w:val="center"/>
          </w:tcPr>
          <w:p>
            <w:pPr>
              <w:pStyle w:val="17"/>
            </w:pPr>
            <w:r>
              <w:t>120.05</w:t>
            </w:r>
          </w:p>
        </w:tc>
        <w:tc>
          <w:tcPr>
            <w:tcW w:w="1474" w:type="dxa"/>
            <w:vAlign w:val="center"/>
          </w:tcPr>
          <w:p>
            <w:pPr>
              <w:pStyle w:val="17"/>
            </w:pPr>
            <w:r>
              <w:t>120.05</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440保定市徐水区地方金融监督管理局</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120.05</w:t>
            </w:r>
          </w:p>
        </w:tc>
        <w:tc>
          <w:tcPr>
            <w:tcW w:w="2551" w:type="dxa"/>
            <w:vAlign w:val="center"/>
          </w:tcPr>
          <w:p>
            <w:pPr>
              <w:pStyle w:val="17"/>
            </w:pPr>
            <w:r>
              <w:t>107.45</w:t>
            </w:r>
          </w:p>
        </w:tc>
        <w:tc>
          <w:tcPr>
            <w:tcW w:w="2551" w:type="dxa"/>
            <w:vAlign w:val="center"/>
          </w:tcPr>
          <w:p>
            <w:pPr>
              <w:pStyle w:val="17"/>
            </w:pPr>
            <w:r>
              <w:t>12.60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9.15</w:t>
            </w:r>
          </w:p>
        </w:tc>
        <w:tc>
          <w:tcPr>
            <w:tcW w:w="2551" w:type="dxa"/>
            <w:vAlign w:val="center"/>
          </w:tcPr>
          <w:p>
            <w:pPr>
              <w:pStyle w:val="13"/>
            </w:pPr>
            <w:r>
              <w:t>9.15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9.15</w:t>
            </w:r>
          </w:p>
        </w:tc>
        <w:tc>
          <w:tcPr>
            <w:tcW w:w="2551" w:type="dxa"/>
            <w:vAlign w:val="center"/>
          </w:tcPr>
          <w:p>
            <w:pPr>
              <w:pStyle w:val="13"/>
            </w:pPr>
            <w:r>
              <w:t>9.15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9.15</w:t>
            </w:r>
          </w:p>
        </w:tc>
        <w:tc>
          <w:tcPr>
            <w:tcW w:w="2551" w:type="dxa"/>
            <w:vAlign w:val="center"/>
          </w:tcPr>
          <w:p>
            <w:pPr>
              <w:pStyle w:val="13"/>
            </w:pPr>
            <w:r>
              <w:t>9.15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3.10</w:t>
            </w:r>
          </w:p>
        </w:tc>
        <w:tc>
          <w:tcPr>
            <w:tcW w:w="2551" w:type="dxa"/>
            <w:vAlign w:val="center"/>
          </w:tcPr>
          <w:p>
            <w:pPr>
              <w:pStyle w:val="13"/>
            </w:pPr>
            <w:r>
              <w:t>3.10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3.10</w:t>
            </w:r>
          </w:p>
        </w:tc>
        <w:tc>
          <w:tcPr>
            <w:tcW w:w="2551" w:type="dxa"/>
            <w:vAlign w:val="center"/>
          </w:tcPr>
          <w:p>
            <w:pPr>
              <w:pStyle w:val="13"/>
            </w:pPr>
            <w:r>
              <w:t>3.10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3.10</w:t>
            </w:r>
          </w:p>
        </w:tc>
        <w:tc>
          <w:tcPr>
            <w:tcW w:w="2551" w:type="dxa"/>
            <w:vAlign w:val="center"/>
          </w:tcPr>
          <w:p>
            <w:pPr>
              <w:pStyle w:val="13"/>
            </w:pPr>
            <w:r>
              <w:t>3.10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217</w:t>
            </w:r>
          </w:p>
        </w:tc>
        <w:tc>
          <w:tcPr>
            <w:tcW w:w="4535" w:type="dxa"/>
            <w:vAlign w:val="center"/>
          </w:tcPr>
          <w:p>
            <w:pPr>
              <w:pStyle w:val="14"/>
            </w:pPr>
            <w:r>
              <w:t>金融支出</w:t>
            </w:r>
          </w:p>
        </w:tc>
        <w:tc>
          <w:tcPr>
            <w:tcW w:w="2551" w:type="dxa"/>
            <w:vAlign w:val="center"/>
          </w:tcPr>
          <w:p>
            <w:pPr>
              <w:pStyle w:val="13"/>
            </w:pPr>
            <w:r>
              <w:t>100.29</w:t>
            </w:r>
          </w:p>
        </w:tc>
        <w:tc>
          <w:tcPr>
            <w:tcW w:w="2551" w:type="dxa"/>
            <w:vAlign w:val="center"/>
          </w:tcPr>
          <w:p>
            <w:pPr>
              <w:pStyle w:val="13"/>
            </w:pPr>
            <w:r>
              <w:t>87.69</w:t>
            </w:r>
          </w:p>
        </w:tc>
        <w:tc>
          <w:tcPr>
            <w:tcW w:w="2551" w:type="dxa"/>
            <w:vAlign w:val="center"/>
          </w:tcPr>
          <w:p>
            <w:pPr>
              <w:pStyle w:val="13"/>
            </w:pPr>
            <w:r>
              <w:t>12.60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21701</w:t>
            </w:r>
          </w:p>
        </w:tc>
        <w:tc>
          <w:tcPr>
            <w:tcW w:w="4535" w:type="dxa"/>
            <w:vAlign w:val="center"/>
          </w:tcPr>
          <w:p>
            <w:pPr>
              <w:pStyle w:val="14"/>
            </w:pPr>
            <w:r>
              <w:t>金融部门行政支出</w:t>
            </w:r>
          </w:p>
        </w:tc>
        <w:tc>
          <w:tcPr>
            <w:tcW w:w="2551" w:type="dxa"/>
            <w:vAlign w:val="center"/>
          </w:tcPr>
          <w:p>
            <w:pPr>
              <w:pStyle w:val="13"/>
            </w:pPr>
            <w:r>
              <w:t>100.29</w:t>
            </w:r>
          </w:p>
        </w:tc>
        <w:tc>
          <w:tcPr>
            <w:tcW w:w="2551" w:type="dxa"/>
            <w:vAlign w:val="center"/>
          </w:tcPr>
          <w:p>
            <w:pPr>
              <w:pStyle w:val="13"/>
            </w:pPr>
            <w:r>
              <w:t>87.69</w:t>
            </w:r>
          </w:p>
        </w:tc>
        <w:tc>
          <w:tcPr>
            <w:tcW w:w="2551" w:type="dxa"/>
            <w:vAlign w:val="center"/>
          </w:tcPr>
          <w:p>
            <w:pPr>
              <w:pStyle w:val="13"/>
            </w:pPr>
            <w:r>
              <w:t>12.60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2170101</w:t>
            </w:r>
          </w:p>
        </w:tc>
        <w:tc>
          <w:tcPr>
            <w:tcW w:w="4535" w:type="dxa"/>
            <w:vAlign w:val="center"/>
          </w:tcPr>
          <w:p>
            <w:pPr>
              <w:pStyle w:val="14"/>
            </w:pPr>
            <w:r>
              <w:t>行政运行</w:t>
            </w:r>
          </w:p>
        </w:tc>
        <w:tc>
          <w:tcPr>
            <w:tcW w:w="2551" w:type="dxa"/>
            <w:vAlign w:val="center"/>
          </w:tcPr>
          <w:p>
            <w:pPr>
              <w:pStyle w:val="13"/>
            </w:pPr>
            <w:r>
              <w:t>87.69</w:t>
            </w:r>
          </w:p>
        </w:tc>
        <w:tc>
          <w:tcPr>
            <w:tcW w:w="2551" w:type="dxa"/>
            <w:vAlign w:val="center"/>
          </w:tcPr>
          <w:p>
            <w:pPr>
              <w:pStyle w:val="13"/>
            </w:pPr>
            <w:r>
              <w:t>87.69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2170102</w:t>
            </w:r>
          </w:p>
        </w:tc>
        <w:tc>
          <w:tcPr>
            <w:tcW w:w="4535" w:type="dxa"/>
            <w:vAlign w:val="center"/>
          </w:tcPr>
          <w:p>
            <w:pPr>
              <w:pStyle w:val="14"/>
            </w:pPr>
            <w:r>
              <w:t>一般行政管理事务</w:t>
            </w:r>
          </w:p>
        </w:tc>
        <w:tc>
          <w:tcPr>
            <w:tcW w:w="2551" w:type="dxa"/>
            <w:vAlign w:val="center"/>
          </w:tcPr>
          <w:p>
            <w:pPr>
              <w:pStyle w:val="13"/>
            </w:pPr>
            <w:r>
              <w:t>12.60</w:t>
            </w:r>
          </w:p>
        </w:tc>
        <w:tc>
          <w:tcPr>
            <w:tcW w:w="2551" w:type="dxa"/>
            <w:vAlign w:val="center"/>
          </w:tcPr>
          <w:p>
            <w:pPr>
              <w:pStyle w:val="13"/>
            </w:pPr>
          </w:p>
        </w:tc>
        <w:tc>
          <w:tcPr>
            <w:tcW w:w="2551" w:type="dxa"/>
            <w:vAlign w:val="center"/>
          </w:tcPr>
          <w:p>
            <w:pPr>
              <w:pStyle w:val="13"/>
            </w:pPr>
            <w:r>
              <w:t>12.60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7.50</w:t>
            </w:r>
          </w:p>
        </w:tc>
        <w:tc>
          <w:tcPr>
            <w:tcW w:w="2551" w:type="dxa"/>
            <w:vAlign w:val="center"/>
          </w:tcPr>
          <w:p>
            <w:pPr>
              <w:pStyle w:val="13"/>
            </w:pPr>
            <w:r>
              <w:t>7.50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7.50</w:t>
            </w:r>
          </w:p>
        </w:tc>
        <w:tc>
          <w:tcPr>
            <w:tcW w:w="2551" w:type="dxa"/>
            <w:vAlign w:val="center"/>
          </w:tcPr>
          <w:p>
            <w:pPr>
              <w:pStyle w:val="13"/>
            </w:pPr>
            <w:r>
              <w:t>7.50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7.50</w:t>
            </w:r>
          </w:p>
        </w:tc>
        <w:tc>
          <w:tcPr>
            <w:tcW w:w="2551" w:type="dxa"/>
            <w:vAlign w:val="center"/>
          </w:tcPr>
          <w:p>
            <w:pPr>
              <w:pStyle w:val="13"/>
            </w:pPr>
            <w:r>
              <w:t>7.50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440保定市徐水区地方金融监督管理局</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107.45</w:t>
            </w:r>
          </w:p>
        </w:tc>
        <w:tc>
          <w:tcPr>
            <w:tcW w:w="2551" w:type="dxa"/>
            <w:vAlign w:val="center"/>
          </w:tcPr>
          <w:p>
            <w:pPr>
              <w:pStyle w:val="17"/>
            </w:pPr>
            <w:r>
              <w:t>96.69</w:t>
            </w:r>
          </w:p>
        </w:tc>
        <w:tc>
          <w:tcPr>
            <w:tcW w:w="2551" w:type="dxa"/>
            <w:vAlign w:val="center"/>
          </w:tcPr>
          <w:p>
            <w:pPr>
              <w:pStyle w:val="17"/>
            </w:pPr>
            <w:r>
              <w:t>10.76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95.96</w:t>
            </w:r>
          </w:p>
        </w:tc>
        <w:tc>
          <w:tcPr>
            <w:tcW w:w="2551" w:type="dxa"/>
            <w:vAlign w:val="center"/>
          </w:tcPr>
          <w:p>
            <w:pPr>
              <w:pStyle w:val="13"/>
            </w:pPr>
            <w:r>
              <w:t>95.96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25.51</w:t>
            </w:r>
          </w:p>
        </w:tc>
        <w:tc>
          <w:tcPr>
            <w:tcW w:w="2551" w:type="dxa"/>
            <w:vAlign w:val="center"/>
          </w:tcPr>
          <w:p>
            <w:pPr>
              <w:pStyle w:val="13"/>
            </w:pPr>
            <w:r>
              <w:t>25.51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23.52</w:t>
            </w:r>
          </w:p>
        </w:tc>
        <w:tc>
          <w:tcPr>
            <w:tcW w:w="2551" w:type="dxa"/>
            <w:vAlign w:val="center"/>
          </w:tcPr>
          <w:p>
            <w:pPr>
              <w:pStyle w:val="13"/>
            </w:pPr>
            <w:r>
              <w:t>23.52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18.64</w:t>
            </w:r>
          </w:p>
        </w:tc>
        <w:tc>
          <w:tcPr>
            <w:tcW w:w="2551" w:type="dxa"/>
            <w:vAlign w:val="center"/>
          </w:tcPr>
          <w:p>
            <w:pPr>
              <w:pStyle w:val="13"/>
            </w:pPr>
            <w:r>
              <w:t>18.64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9.15</w:t>
            </w:r>
          </w:p>
        </w:tc>
        <w:tc>
          <w:tcPr>
            <w:tcW w:w="2551" w:type="dxa"/>
            <w:vAlign w:val="center"/>
          </w:tcPr>
          <w:p>
            <w:pPr>
              <w:pStyle w:val="13"/>
            </w:pPr>
            <w:r>
              <w:t>9.15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3.10</w:t>
            </w:r>
          </w:p>
        </w:tc>
        <w:tc>
          <w:tcPr>
            <w:tcW w:w="2551" w:type="dxa"/>
            <w:vAlign w:val="center"/>
          </w:tcPr>
          <w:p>
            <w:pPr>
              <w:pStyle w:val="13"/>
            </w:pPr>
            <w:r>
              <w:t>3.10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0.23</w:t>
            </w:r>
          </w:p>
        </w:tc>
        <w:tc>
          <w:tcPr>
            <w:tcW w:w="2551" w:type="dxa"/>
            <w:vAlign w:val="center"/>
          </w:tcPr>
          <w:p>
            <w:pPr>
              <w:pStyle w:val="13"/>
            </w:pPr>
            <w:r>
              <w:t>0.23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7.50</w:t>
            </w:r>
          </w:p>
        </w:tc>
        <w:tc>
          <w:tcPr>
            <w:tcW w:w="2551" w:type="dxa"/>
            <w:vAlign w:val="center"/>
          </w:tcPr>
          <w:p>
            <w:pPr>
              <w:pStyle w:val="13"/>
            </w:pPr>
            <w:r>
              <w:t>7.50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8.30</w:t>
            </w:r>
          </w:p>
        </w:tc>
        <w:tc>
          <w:tcPr>
            <w:tcW w:w="2551" w:type="dxa"/>
            <w:vAlign w:val="center"/>
          </w:tcPr>
          <w:p>
            <w:pPr>
              <w:pStyle w:val="13"/>
            </w:pPr>
            <w:r>
              <w:t>8.30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10.31</w:t>
            </w:r>
          </w:p>
        </w:tc>
        <w:tc>
          <w:tcPr>
            <w:tcW w:w="2551" w:type="dxa"/>
            <w:vAlign w:val="center"/>
          </w:tcPr>
          <w:p>
            <w:pPr>
              <w:pStyle w:val="13"/>
            </w:pPr>
          </w:p>
        </w:tc>
        <w:tc>
          <w:tcPr>
            <w:tcW w:w="2551" w:type="dxa"/>
            <w:vAlign w:val="center"/>
          </w:tcPr>
          <w:p>
            <w:pPr>
              <w:pStyle w:val="13"/>
            </w:pPr>
            <w:r>
              <w:t>10.31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1.17</w:t>
            </w:r>
          </w:p>
        </w:tc>
        <w:tc>
          <w:tcPr>
            <w:tcW w:w="2551" w:type="dxa"/>
            <w:vAlign w:val="center"/>
          </w:tcPr>
          <w:p>
            <w:pPr>
              <w:pStyle w:val="13"/>
            </w:pPr>
          </w:p>
        </w:tc>
        <w:tc>
          <w:tcPr>
            <w:tcW w:w="2551" w:type="dxa"/>
            <w:vAlign w:val="center"/>
          </w:tcPr>
          <w:p>
            <w:pPr>
              <w:pStyle w:val="13"/>
            </w:pPr>
            <w:r>
              <w:t>1.17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3.32</w:t>
            </w:r>
          </w:p>
        </w:tc>
        <w:tc>
          <w:tcPr>
            <w:tcW w:w="2551" w:type="dxa"/>
            <w:vAlign w:val="center"/>
          </w:tcPr>
          <w:p>
            <w:pPr>
              <w:pStyle w:val="13"/>
            </w:pPr>
          </w:p>
        </w:tc>
        <w:tc>
          <w:tcPr>
            <w:tcW w:w="2551" w:type="dxa"/>
            <w:vAlign w:val="center"/>
          </w:tcPr>
          <w:p>
            <w:pPr>
              <w:pStyle w:val="13"/>
            </w:pPr>
            <w:r>
              <w:t>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0.92</w:t>
            </w:r>
          </w:p>
        </w:tc>
        <w:tc>
          <w:tcPr>
            <w:tcW w:w="2551" w:type="dxa"/>
            <w:vAlign w:val="center"/>
          </w:tcPr>
          <w:p>
            <w:pPr>
              <w:pStyle w:val="13"/>
            </w:pPr>
          </w:p>
        </w:tc>
        <w:tc>
          <w:tcPr>
            <w:tcW w:w="2551" w:type="dxa"/>
            <w:vAlign w:val="center"/>
          </w:tcPr>
          <w:p>
            <w:pPr>
              <w:pStyle w:val="13"/>
            </w:pPr>
            <w:r>
              <w:t>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0.64</w:t>
            </w:r>
          </w:p>
        </w:tc>
        <w:tc>
          <w:tcPr>
            <w:tcW w:w="2551" w:type="dxa"/>
            <w:vAlign w:val="center"/>
          </w:tcPr>
          <w:p>
            <w:pPr>
              <w:pStyle w:val="13"/>
            </w:pPr>
          </w:p>
        </w:tc>
        <w:tc>
          <w:tcPr>
            <w:tcW w:w="2551" w:type="dxa"/>
            <w:vAlign w:val="center"/>
          </w:tcPr>
          <w:p>
            <w:pPr>
              <w:pStyle w:val="13"/>
            </w:pPr>
            <w:r>
              <w:t>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4.20</w:t>
            </w:r>
          </w:p>
        </w:tc>
        <w:tc>
          <w:tcPr>
            <w:tcW w:w="2551" w:type="dxa"/>
            <w:vAlign w:val="center"/>
          </w:tcPr>
          <w:p>
            <w:pPr>
              <w:pStyle w:val="13"/>
            </w:pPr>
          </w:p>
        </w:tc>
        <w:tc>
          <w:tcPr>
            <w:tcW w:w="2551" w:type="dxa"/>
            <w:vAlign w:val="center"/>
          </w:tcPr>
          <w:p>
            <w:pPr>
              <w:pStyle w:val="13"/>
            </w:pPr>
            <w:r>
              <w:t>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0.06</w:t>
            </w:r>
          </w:p>
        </w:tc>
        <w:tc>
          <w:tcPr>
            <w:tcW w:w="2551" w:type="dxa"/>
            <w:vAlign w:val="center"/>
          </w:tcPr>
          <w:p>
            <w:pPr>
              <w:pStyle w:val="13"/>
            </w:pPr>
          </w:p>
        </w:tc>
        <w:tc>
          <w:tcPr>
            <w:tcW w:w="2551" w:type="dxa"/>
            <w:vAlign w:val="center"/>
          </w:tcPr>
          <w:p>
            <w:pPr>
              <w:pStyle w:val="13"/>
            </w:pPr>
            <w:r>
              <w:t>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0.73</w:t>
            </w:r>
          </w:p>
        </w:tc>
        <w:tc>
          <w:tcPr>
            <w:tcW w:w="2551" w:type="dxa"/>
            <w:vAlign w:val="center"/>
          </w:tcPr>
          <w:p>
            <w:pPr>
              <w:pStyle w:val="13"/>
            </w:pPr>
            <w:r>
              <w:t>0.73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0.73</w:t>
            </w:r>
          </w:p>
        </w:tc>
        <w:tc>
          <w:tcPr>
            <w:tcW w:w="2551" w:type="dxa"/>
            <w:vAlign w:val="center"/>
          </w:tcPr>
          <w:p>
            <w:pPr>
              <w:pStyle w:val="13"/>
            </w:pPr>
            <w:r>
              <w:t>0.73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310</w:t>
            </w:r>
          </w:p>
        </w:tc>
        <w:tc>
          <w:tcPr>
            <w:tcW w:w="4535" w:type="dxa"/>
            <w:vAlign w:val="center"/>
          </w:tcPr>
          <w:p>
            <w:pPr>
              <w:pStyle w:val="14"/>
            </w:pPr>
            <w:r>
              <w:t>资本性支出</w:t>
            </w:r>
          </w:p>
        </w:tc>
        <w:tc>
          <w:tcPr>
            <w:tcW w:w="2551" w:type="dxa"/>
            <w:vAlign w:val="center"/>
          </w:tcPr>
          <w:p>
            <w:pPr>
              <w:pStyle w:val="13"/>
            </w:pPr>
            <w:r>
              <w:t>0.45</w:t>
            </w:r>
          </w:p>
        </w:tc>
        <w:tc>
          <w:tcPr>
            <w:tcW w:w="2551" w:type="dxa"/>
            <w:vAlign w:val="center"/>
          </w:tcPr>
          <w:p>
            <w:pPr>
              <w:pStyle w:val="13"/>
            </w:pPr>
          </w:p>
        </w:tc>
        <w:tc>
          <w:tcPr>
            <w:tcW w:w="2551" w:type="dxa"/>
            <w:vAlign w:val="center"/>
          </w:tcPr>
          <w:p>
            <w:pPr>
              <w:pStyle w:val="13"/>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31002</w:t>
            </w:r>
          </w:p>
        </w:tc>
        <w:tc>
          <w:tcPr>
            <w:tcW w:w="4535" w:type="dxa"/>
            <w:vAlign w:val="center"/>
          </w:tcPr>
          <w:p>
            <w:pPr>
              <w:pStyle w:val="14"/>
            </w:pPr>
            <w:r>
              <w:t>办公设备购置</w:t>
            </w:r>
          </w:p>
        </w:tc>
        <w:tc>
          <w:tcPr>
            <w:tcW w:w="2551" w:type="dxa"/>
            <w:vAlign w:val="center"/>
          </w:tcPr>
          <w:p>
            <w:pPr>
              <w:pStyle w:val="13"/>
            </w:pPr>
            <w:r>
              <w:t>0.45</w:t>
            </w:r>
          </w:p>
        </w:tc>
        <w:tc>
          <w:tcPr>
            <w:tcW w:w="2551" w:type="dxa"/>
            <w:vAlign w:val="center"/>
          </w:tcPr>
          <w:p>
            <w:pPr>
              <w:pStyle w:val="13"/>
            </w:pPr>
          </w:p>
        </w:tc>
        <w:tc>
          <w:tcPr>
            <w:tcW w:w="2551" w:type="dxa"/>
            <w:vAlign w:val="center"/>
          </w:tcPr>
          <w:p>
            <w:pPr>
              <w:pStyle w:val="13"/>
            </w:pPr>
            <w:r>
              <w:t>0.45</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440保定市徐水区地方金融监督管理局</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440保定市徐水区地方金融监督管理局</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440保定市徐水区地方金融监督管理局</w:t>
            </w:r>
          </w:p>
        </w:tc>
        <w:tc>
          <w:tcPr>
            <w:tcW w:w="2381" w:type="dxa"/>
            <w:tcBorders>
              <w:top w:val="single" w:color="FFFFFF" w:sz="6" w:space="0"/>
              <w:left w:val="single" w:color="FFFFFF" w:sz="6" w:space="0"/>
              <w:right w:val="single" w:color="FFFFFF" w:sz="6" w:space="0"/>
            </w:tcBorders>
            <w:vAlign w:val="center"/>
          </w:tcPr>
          <w:p>
            <w:pPr>
              <w:pStyle w:val="10"/>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保定市徐水区地方金融监督管理局2024年部门预算信息公开情况说明</w:t>
      </w:r>
    </w:p>
    <w:p>
      <w:pPr>
        <w:jc w:val="center"/>
      </w:pPr>
      <w:r>
        <w:rPr>
          <w:rFonts w:ascii="方正小标宋_GBK" w:hAnsi="方正小标宋_GBK" w:eastAsia="方正小标宋_GBK" w:cs="方正小标宋_GBK"/>
          <w:color w:val="000000"/>
          <w:sz w:val="44"/>
        </w:rPr>
        <w:t>保定市徐水区地方金融监督管理局2024年部门预算信息公开情况说明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按照《中华人民共和国预算法》、《地方预决算公开操作规程》和《关于进一步推进预算公开工作的实施意见》规定，现将保定市徐水区地方金融监督管理局2024年部门预算公开如下：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9"/>
      </w:pPr>
      <w:r>
        <w:t>（一）、贯彻执行国家金融工作方针政策和法律法规，研究分析金融形势、国家和省市金融政策及全区金融运行情况；拟订全区金融业发展规划和规范性文件，提出改善金融发展环境、促进金融业发展的建议。</w:t>
      </w:r>
    </w:p>
    <w:p>
      <w:pPr>
        <w:pStyle w:val="19"/>
      </w:pPr>
      <w:r>
        <w:t>（二）、充分发挥金融监管作用，将类金融机构监管推向正轨，促进类金融健康、可持续发展，根治地方金融乱象，维护地方金融稳定。负责对全区辖区内类金融机构实施监管，配合有关部门加强对互联网金融的监管。</w:t>
      </w:r>
    </w:p>
    <w:p>
      <w:pPr>
        <w:pStyle w:val="19"/>
      </w:pPr>
      <w:r>
        <w:t>（三）、组织协调有关部门加强地方金融风险防范，打击非法金融活动，防范、化解和处置地方金融风险，处理地方金融突发事件和重大事件；承担地方金融风险监测预算系统和监管信息系统待建设管理工作。</w:t>
      </w:r>
    </w:p>
    <w:p>
      <w:pPr>
        <w:pStyle w:val="19"/>
      </w:pPr>
      <w:r>
        <w:t>（四）、负责对全区各类金融机构的监管工作；负责组织开展政府与金融机构合作、金融机构和企业对接，引导、协调和鼓励金融机构加强对全区经济社会发展的支持。</w:t>
      </w:r>
    </w:p>
    <w:p>
      <w:pPr>
        <w:pStyle w:val="19"/>
      </w:pPr>
      <w:r>
        <w:t>（五）、协调组织地方金融统计监测、专项调查等，督导地方法人金融机构完善法人治理和内控机制建设。</w:t>
      </w:r>
    </w:p>
    <w:p>
      <w:pPr>
        <w:pStyle w:val="19"/>
      </w:pPr>
      <w:r>
        <w:t>（六）、制定全区多层次资本市场培育、改革和民展的有关措施；协调和推动企业上市工作；协助证券监管部门做好对我区上市公司和直接融资活动的监督管理。</w:t>
      </w:r>
    </w:p>
    <w:p>
      <w:pPr>
        <w:pStyle w:val="19"/>
      </w:pPr>
      <w:r>
        <w:t>(七)、负责全区小额贷款公司的备案、变更和监督管理。</w:t>
      </w:r>
    </w:p>
    <w:p>
      <w:pPr>
        <w:pStyle w:val="19"/>
      </w:pPr>
      <w:r>
        <w:t>（八）、承担我区打击和处置非法集资工作领导小组办公室日常工作。会同有关部门防范、化解和处置全区金融风险；配合有关部门做好依法打击和处置非法集资等非法金融活动有关工作。</w:t>
      </w:r>
    </w:p>
    <w:p>
      <w:pPr>
        <w:pStyle w:val="19"/>
      </w:pPr>
      <w:r>
        <w:t>(九)、承担区金融工作小组办公室的日常工作。</w:t>
      </w:r>
    </w:p>
    <w:p>
      <w:pPr>
        <w:pStyle w:val="19"/>
      </w:pPr>
      <w:r>
        <w:t>（十）、承办区委、区政府交办的其他事项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金融监管局（系统）</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保定市徐水区地方金融监督管理局本级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20"/>
      </w:pPr>
      <w:r>
        <w:t>（一）、收入说明</w:t>
      </w:r>
    </w:p>
    <w:p>
      <w:pPr>
        <w:pStyle w:val="20"/>
      </w:pPr>
      <w:r>
        <w:t>反映本部门当年全部收入。2024年预算收入120.05万元，其中：一般公共预算收入120.05万元，基金预算收入0万元，国有资本经营预算收入0万元，财政专户核拨收入0万元，单位资金入0万元，上年结转结余0万元。</w:t>
      </w:r>
    </w:p>
    <w:p>
      <w:pPr>
        <w:pStyle w:val="20"/>
      </w:pPr>
      <w:r>
        <w:t>（二）、支出说明</w:t>
      </w:r>
    </w:p>
    <w:p>
      <w:pPr>
        <w:pStyle w:val="20"/>
      </w:pPr>
      <w:r>
        <w:t>收支预算总表支出栏、基本支出表、项目支出表按经济分类和支出功能分类科目编制，反映保定市徐水区金融局年度部门预算中支出预算的总体情况。2024年支出预算120.05万元，其中基本支出107.45万元，包括人员经费96.69万元和日常公用经费10.76万元；项目支出12.60万元，主要是2024年金融局专项业务费项目资金。</w:t>
      </w:r>
    </w:p>
    <w:p>
      <w:pPr>
        <w:pStyle w:val="20"/>
      </w:pPr>
      <w:r>
        <w:t>（三）、比上年增减情况</w:t>
      </w:r>
    </w:p>
    <w:p>
      <w:pPr>
        <w:pStyle w:val="20"/>
      </w:pPr>
      <w:r>
        <w:t>本年度预算收支安排120.05万元，较上年减省19134.97万元。其中:基本支出减少2.277万元，主要原因是压减支出，</w:t>
      </w:r>
      <w:r>
        <w:rPr>
          <w:rFonts w:hint="eastAsia"/>
          <w:lang w:val="en-US" w:eastAsia="zh-CN"/>
        </w:rPr>
        <w:t>厉</w:t>
      </w:r>
      <w:r>
        <w:t>行</w:t>
      </w:r>
      <w:bookmarkStart w:id="20" w:name="_GoBack"/>
      <w:bookmarkEnd w:id="20"/>
      <w:r>
        <w:t>节约；项目支出减少19132.70万元，主要原因是2024年金融局项目减少没有资金安排。</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1"/>
      </w:pPr>
      <w:r>
        <w:t>2024年我部门机关运行经费安排10.76万元，其中办公费1.17万元，邮电费3.32万元，工会经费、福利费1.56万元，公务用车运行维护费0万元，其他支出4.71万元。</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 xml:space="preserve">2024年我部门财政拨款“三公经费预算安排0万元，其中因公出国（境）费0万元；公务用车购置及运维费0万元（其中：公务用车购置费为0万元，公务用车运维费0万元)；公务接待费0万元。与 2023年相比减少2.34万元，减少原因为我部门有办公车辆编制无实有车辆。 </w:t>
      </w: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23"/>
      </w:pPr>
      <w:r>
        <w:t xml:space="preserve">2023年，在区委、区政府领导下，我局将继续坚持稳中求进的工作总基调，把握高质量发展的基本要求，遵循金融发展规律，完善金融工作机制，强化地方金融监管，化解存量金融风险，严控增量金融风险，优化金融发展环境，全力推进服务实体经济、防控金融风险、深化金融改革三项重点任务，加快建立完善与我区改革发展相适应的金融市场体系，为新时代建设经济强省、美丽徐水提供有力的金融支撑。   </w:t>
      </w:r>
    </w:p>
    <w:p>
      <w:pPr>
        <w:spacing w:line="500" w:lineRule="exact"/>
        <w:ind w:firstLine="560"/>
      </w:pPr>
      <w:r>
        <w:rPr>
          <w:rFonts w:eastAsia="方正仿宋_GBK"/>
          <w:color w:val="000000"/>
          <w:sz w:val="28"/>
        </w:rPr>
        <w:t>（二）分项绩效目标</w:t>
      </w:r>
    </w:p>
    <w:p>
      <w:pPr>
        <w:pStyle w:val="24"/>
      </w:pPr>
      <w:r>
        <w:t>1、加大协调力度，全力支持重点领域区域</w:t>
      </w:r>
    </w:p>
    <w:p>
      <w:pPr>
        <w:pStyle w:val="24"/>
      </w:pPr>
      <w:r>
        <w:t>绩效目标：全力支持京津冀协同发展、雄安新区建设，引导更多金融资源向重点领域区域聚集。发展绿色金融,支持对产能过剩和高耗能行业兼并重组、转型升级和技术改造。开展银企对接，切实缓解民营企业融资难、融资贵问题。推进金融扶贫,进一步提升贫困地区人民对金融服务的获得感。</w:t>
      </w:r>
    </w:p>
    <w:p>
      <w:pPr>
        <w:pStyle w:val="24"/>
      </w:pPr>
      <w:r>
        <w:t>绩效指标：加强协调联络，针对实体企业和产业项目融资需求，适时开展融资对接协调工作，每季度开展1次全区金融运行分析。配合做好全区重点项目推介工作，向金融机构推介重点领域项目融资需求。区本级开展2次以上融资对接活动。开展1次金融扶贫培训，提高各级干部业务水平，提升贫困地区人民对金融服务的获得感。</w:t>
      </w:r>
    </w:p>
    <w:p>
      <w:pPr>
        <w:pStyle w:val="24"/>
      </w:pPr>
      <w:r>
        <w:t>2、深化政银企合作，进一步增加信贷投放</w:t>
      </w:r>
    </w:p>
    <w:p>
      <w:pPr>
        <w:pStyle w:val="24"/>
      </w:pPr>
      <w:r>
        <w:t>绩效目标：鼓励和支持驻冀银行业机构积极争取总部资源倾斜，创新金融产品和服务，满足多方位金融需求。督促围绕重点项目、重点企业，常态化开展政银企对接活动，把优质项目推介给金融机构，促进信贷供求双方无缝对接。进一步完善融资担保体系，督促指导县区政府性融资担保机构建设工作。协调畅通区级融资担保基金的运作，积极争取扩大资金规模。实施小微企业融资担保业务降费奖补，积极争取国家专项资金。</w:t>
      </w:r>
    </w:p>
    <w:p>
      <w:pPr>
        <w:pStyle w:val="24"/>
      </w:pPr>
      <w:r>
        <w:t>绩效指标：开展1次全区银行业机构服务实体经济发展指导评价工作，对区内金融机构增加信贷投放、支持重点项目、创新金融产品和服务情况进行指导评价。加强政策指导，督促针对本地产业特色和企业实际需求，广泛开展常态化银企对接活动。完善增信机制建设，规范融资担保机构，对10%以上融资担保机构进行核查，核查不低于4家，确保融资担保机构合规合法，融资担保机构发生重大风险数归零。</w:t>
      </w:r>
    </w:p>
    <w:p>
      <w:pPr>
        <w:pStyle w:val="24"/>
      </w:pPr>
      <w:r>
        <w:t>3、大力推进企业上市，扩大直接融资规模</w:t>
      </w:r>
    </w:p>
    <w:p>
      <w:pPr>
        <w:pStyle w:val="24"/>
      </w:pPr>
      <w:r>
        <w:t>绩效目标：建立完善挂牌上市企业后备资源库，加大对拟挂牌上市企业的培训和辅导，对不同发展规模、不同发展阶段的拟挂牌上市企业动态管理，重点培育，梯次推进。认真落实《河北省企业挂牌上市融资奖励资金管理办法》，引导和鼓励我区更多企业到境内外多层次资本市场挂牌上市融资。加大对企业挂牌上市工作的考核，进一步提升服务企业挂牌上市融资工作的质量和水平，助推其选择恰当的时机挂牌上市融资。支持企业通过发行企业债券、公司债券、可转换债券、短期融资券、中期票据、资产证券化等方式扩大直接融资规模。</w:t>
      </w:r>
    </w:p>
    <w:p>
      <w:pPr>
        <w:pStyle w:val="24"/>
      </w:pPr>
      <w:r>
        <w:t>绩效指标：调整完善挂牌上市企业后备资源库。加大拟挂牌上市企业培训。深入开展调查研究，及时发现、帮助企业协调挂牌上市融资过程中遇到的问题。结合当前经济形势和企业自身发展情况，力争通过挂牌上市对企业在建立现代企业管理制度，规范治理经营、提升资本运作、抵抗经营风险的能力等方面产生积极影响。企业挂牌上市一年后较挂牌上市前，财务、纳税等指标增长的企业占比60%以上。</w:t>
      </w:r>
    </w:p>
    <w:p>
      <w:pPr>
        <w:pStyle w:val="24"/>
      </w:pPr>
      <w:r>
        <w:t>4、发展壮大地方金融主体，完善金融服务体系</w:t>
      </w:r>
    </w:p>
    <w:p>
      <w:pPr>
        <w:pStyle w:val="24"/>
      </w:pPr>
      <w:r>
        <w:t>绩效目标：深化农村信用社改革，支持地方法人城市商业银行做优做强，增强地方金融主体服务能力。继续推进“引金入冀”工程，吸引更多的域外金融机构入驻河北,重点向雄安新区布局。加大高风险机构风险处置化解力度。推动小额贷款公司、典当行、融资租赁公司、区域性股权市场、地方资产管理公司等地方金融组织规范发展，满足实体经济多元化融资需求。</w:t>
      </w:r>
    </w:p>
    <w:p>
      <w:pPr>
        <w:pStyle w:val="24"/>
      </w:pPr>
      <w:r>
        <w:t>绩效指标：农村信用社改革持续推进，地方法人城市商业银行不断做优做强，服务能力得到明显提升。高风险机构风险处置化解平稳有序。规范发展小额贷款公司、区域性股权市场等地方金融组织，坚持依法合规、稳健运营，服务地方实体经济发展，防范和化解区域金融风险。</w:t>
      </w:r>
    </w:p>
    <w:p>
      <w:pPr>
        <w:pStyle w:val="24"/>
      </w:pPr>
      <w:r>
        <w:t>5、强化金融监管，整顿规范地方金融市场</w:t>
      </w:r>
    </w:p>
    <w:p>
      <w:pPr>
        <w:pStyle w:val="24"/>
      </w:pPr>
      <w:r>
        <w:t>绩效目标：落实《河北省地方金融监督管理条例》，着力抓好执法队伍能力建设，增强依法行政意识，全面提升业务能力和水平。切实加强小额贷款公司、融资担保公司、典当行、融资租赁公司、区域性股权市场、地方资产管理公司等地方金融组织日常监管和准入监管，落实重大事项报告制度。充分发挥“河北金融云”监管服务平台功能,切实加强监测预警，借助大数据、云计算等科技手段，有效识别风险隐患，防范和化解金融风险。</w:t>
      </w:r>
    </w:p>
    <w:p>
      <w:pPr>
        <w:pStyle w:val="24"/>
      </w:pPr>
      <w:r>
        <w:t>绩效指标：组织局机关执法人员开展两次行政执法培训，按照“双随机</w:t>
      </w:r>
      <w:r>
        <w:rPr>
          <w:rFonts w:hint="eastAsia"/>
          <w:lang w:eastAsia="zh-CN"/>
        </w:rPr>
        <w:t>、</w:t>
      </w:r>
      <w:r>
        <w:t>一公开”行政执法检查要求，完成2019年度区域性股权市场、地方资产管理公司等地方金融组织的行政检查工作。加强对“河北金融云”监管服务平台进行日常维护，确保平台保持不间断平稳运行。</w:t>
      </w:r>
    </w:p>
    <w:p>
      <w:pPr>
        <w:pStyle w:val="24"/>
      </w:pPr>
      <w:r>
        <w:t>6、树牢底线思维，严格防控化解金融风险</w:t>
      </w:r>
    </w:p>
    <w:p>
      <w:pPr>
        <w:pStyle w:val="24"/>
      </w:pPr>
      <w:r>
        <w:t>绩效目标：按照金融风险处置化解“1+N”方案预案，实施台账管理，实行月度监测，加快处置化解地方金融风险。按照《河北省处置化解金融风险工作督查考核办法》，加强督查考核，发挥专班作用，全力推进金融风险处置化解工作。扎实做好防范和打击非法集资工作，深入开展宣传教育活动，加大涉嫌非法集资监测预警，组织开展非法集资风险排查整治活动，做到早识别、早预警、早处置。</w:t>
      </w:r>
    </w:p>
    <w:p>
      <w:pPr>
        <w:pStyle w:val="24"/>
      </w:pPr>
      <w:r>
        <w:t xml:space="preserve">绩效指标：组织开展全区集中宣传月，按计划宣传教育活动；实现非法集资监测预警体系全区监测范围覆盖90%以上。按计划组织召开金融风险处置调度推进工作会议，组织开展督导检查，督导检查完成率100%。严守不发生系统性、区域性金融风险的底线。 </w:t>
      </w:r>
    </w:p>
    <w:p>
      <w:pPr>
        <w:spacing w:line="500" w:lineRule="exact"/>
        <w:ind w:firstLine="560"/>
      </w:pPr>
      <w:r>
        <w:rPr>
          <w:rFonts w:eastAsia="方正仿宋_GBK"/>
          <w:color w:val="000000"/>
          <w:sz w:val="28"/>
        </w:rPr>
        <w:t>（三）工作保障措施</w:t>
      </w:r>
    </w:p>
    <w:p>
      <w:pPr>
        <w:pStyle w:val="25"/>
      </w:pPr>
      <w:r>
        <w:t>1、建立健全部门预算绩效内部评价机制。</w:t>
      </w:r>
    </w:p>
    <w:p>
      <w:pPr>
        <w:pStyle w:val="25"/>
      </w:pPr>
      <w:r>
        <w:t>结合局预算绩效管理工作特点，推进全过程预算绩效管理，制定完善《部门预算管理绩效综合评价实施方案》等制度措施，进一步完善绩效目标管理、指标统计、评价管理、结果运用及第三方评价内容和要求。健全跟踪评估机制，对项目目标确认、项目执行、绩效评价进行全过程跟踪分析评估，强化绩效目标论证和落实，做到绩效目标与财政资金相匹配，有效提升工作效能，更好实现绩效管理目标。</w:t>
      </w:r>
    </w:p>
    <w:p>
      <w:pPr>
        <w:pStyle w:val="25"/>
      </w:pPr>
      <w:r>
        <w:t>2、加强部门预算绩效运行监控力度。</w:t>
      </w:r>
    </w:p>
    <w:p>
      <w:pPr>
        <w:pStyle w:val="25"/>
      </w:pPr>
      <w:r>
        <w:t>加强预算绩效全程管理，建立“预算编制有目标、预算执行有监控、预算完成有评价、评价结果有反馈、反馈结果有应用”的全过程预算绩效管理机制。对绩效信息适时进行跟踪监控，重点监控是否符合预算批复时确定的绩效目标，发现预算支出绩效运行与原定绩效目标发生偏离时，及时采取措施予以纠正。充分发挥绩效监督的作用，强化监督检查成果利用；健全制衡机制，强化对所有财政性资金和运行全过程的绩效监督。对绩效评价中发现的问题提出整改建议，不断提高评价结果对预算单位的约束力，逐步探索建立绩效评价结果和项目预算安排挂钩制度，将绩效评价结果作为部门预算编制、预算调整的参考依据。</w:t>
      </w:r>
    </w:p>
    <w:p>
      <w:pPr>
        <w:pStyle w:val="25"/>
      </w:pPr>
      <w:r>
        <w:t>3、不断完善部门预算绩效自评方法。</w:t>
      </w:r>
    </w:p>
    <w:p>
      <w:pPr>
        <w:pStyle w:val="25"/>
      </w:pPr>
      <w:r>
        <w:t>完善部门预算绩效评价的方式方法，逐步建立自我评价与外部评价相结合、定量评价与定性评价相结合的多种绩效评价方式，确保绩效评价结果的权威性、公正性。科学合理地运用成本效益分析法、比较法、因素分析法、最低成本法、公共评判法等多种评价方法，对财政资金支出的经济性、效率性和效益性进行客观评价。预算执行结束后，认真分析和积极利用决算数据，对财政支出的实际绩效进行评价，客观公正地评价绩效目标的实现程度，提高预算绩效评价的准确性和有效性。积极探索绩效评价结果应用方式，促进预算绩效管理工作发挥实效。</w:t>
      </w:r>
    </w:p>
    <w:p>
      <w:pPr>
        <w:pStyle w:val="25"/>
      </w:pPr>
      <w:r>
        <w:t>4、规范财务资产管理，突出财政资金使用效益。</w:t>
      </w:r>
    </w:p>
    <w:p>
      <w:pPr>
        <w:pStyle w:val="25"/>
      </w:pPr>
      <w:r>
        <w:t>加强对项目的实地调研和论证，明确各资金要实现的绩效目标，既要确保任务资金所需，又要避免资金闲置和沉淀，控制好预算成本，设定好申请拨款所需的量化业绩指标，科学合理编制具有明确量化标准的预算。执行预算时，跟踪好各项资金使用和管理情况、项目实施效果，依托科学规范的绩效评价方法，对财政资金支出的经济性、效率性、效益性进行动态化监控。针对绩效监督过程中发现的问题，及时督促整改，为下一年安排资金提供重要参考。加强决算管理，确保决算真实、完整、准确、及时，加强决算分析工作，强化决算分析结果运用，建立健全单位预算与决算相互反映、相互促进的机制。</w:t>
      </w:r>
    </w:p>
    <w:p>
      <w:pPr>
        <w:pStyle w:val="25"/>
      </w:pPr>
      <w:r>
        <w:t>5、加强部门内部监督，充分运用绩效评价结果。</w:t>
      </w:r>
    </w:p>
    <w:p>
      <w:pPr>
        <w:pStyle w:val="25"/>
      </w:pPr>
      <w:r>
        <w:t>建立健全预算编制、审批、执行、决算与评价等预算内部管理制度。合理设置岗位，明确相关岗位的职责权限，确保预算编制、审批、执行、评价等不相容岗位相互分离。建立健全内部监督制度，明确各处室在内部监督中的职责权限，规范内部监督的程序和要求，对内部控制建立与实施情况进行内部监督检查和自我评价。根据实际情况确定内部监督检查的方法、范围和频率。在预算执行过程中，严格按预算安排的项目和执行进度落实，维护预算“刚性”。健全预算执行分析机制，定期通报各处室预算执行情况，召开预算执行分析会议，研究解决预算执行中存在的问题，提出改进措施，提高预算执行的有效性。</w:t>
      </w:r>
    </w:p>
    <w:p>
      <w:pPr>
        <w:pStyle w:val="25"/>
        <w:sectPr>
          <w:pgSz w:w="16840" w:h="11900" w:orient="landscape"/>
          <w:pgMar w:top="1361" w:right="1020" w:bottom="1361" w:left="1020" w:header="720" w:footer="720" w:gutter="0"/>
          <w:cols w:space="720" w:num="1"/>
        </w:sectPr>
      </w:pP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1、2024年金融局专项业务费绩效目标表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13062524P00001510713A</w:t>
            </w:r>
          </w:p>
        </w:tc>
        <w:tc>
          <w:tcPr>
            <w:tcW w:w="2835" w:type="dxa"/>
            <w:vAlign w:val="center"/>
          </w:tcPr>
          <w:p>
            <w:pPr>
              <w:pStyle w:val="12"/>
            </w:pPr>
            <w:r>
              <w:t>项目名称</w:t>
            </w:r>
          </w:p>
        </w:tc>
        <w:tc>
          <w:tcPr>
            <w:tcW w:w="6094" w:type="dxa"/>
            <w:gridSpan w:val="3"/>
            <w:vAlign w:val="center"/>
          </w:tcPr>
          <w:p>
            <w:pPr>
              <w:pStyle w:val="14"/>
            </w:pPr>
            <w:r>
              <w:t>2024年金融局专项业务费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12.60</w:t>
            </w:r>
          </w:p>
        </w:tc>
        <w:tc>
          <w:tcPr>
            <w:tcW w:w="2835" w:type="dxa"/>
            <w:vAlign w:val="center"/>
          </w:tcPr>
          <w:p>
            <w:pPr>
              <w:pStyle w:val="12"/>
            </w:pPr>
            <w:r>
              <w:t>其中：财政    资金</w:t>
            </w:r>
          </w:p>
        </w:tc>
        <w:tc>
          <w:tcPr>
            <w:tcW w:w="2551" w:type="dxa"/>
            <w:vAlign w:val="center"/>
          </w:tcPr>
          <w:p>
            <w:pPr>
              <w:pStyle w:val="14"/>
            </w:pPr>
            <w:r>
              <w:t>12.60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项目资金用于金融局2024年专项业务。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80%</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1.完成2024年金融局各项综合事务管理，工作完成率达到100%</w:t>
            </w:r>
          </w:p>
          <w:p>
            <w:pPr>
              <w:pStyle w:val="14"/>
            </w:pPr>
            <w:r>
              <w:t>2.进一步提高金融信贷政策宣传力度，保持社会稳定。</w:t>
            </w:r>
          </w:p>
          <w:p>
            <w:pPr>
              <w:pStyle w:val="14"/>
            </w:pPr>
            <w:r>
              <w:t>3.根据年度内完成的重点工作数量按工作实施方案拨付项目资金，拨付及时度达到100%。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年度重点工作的办公费</w:t>
            </w:r>
          </w:p>
        </w:tc>
        <w:tc>
          <w:tcPr>
            <w:tcW w:w="5386" w:type="dxa"/>
            <w:vAlign w:val="center"/>
          </w:tcPr>
          <w:p>
            <w:pPr>
              <w:pStyle w:val="14"/>
            </w:pPr>
            <w:r>
              <w:t>年度重点工作的办公费的资金数量</w:t>
            </w:r>
          </w:p>
        </w:tc>
        <w:tc>
          <w:tcPr>
            <w:tcW w:w="2268" w:type="dxa"/>
            <w:vAlign w:val="center"/>
          </w:tcPr>
          <w:p>
            <w:pPr>
              <w:pStyle w:val="14"/>
            </w:pPr>
            <w:r>
              <w:t>≤20000元</w:t>
            </w:r>
          </w:p>
        </w:tc>
        <w:tc>
          <w:tcPr>
            <w:tcW w:w="1276" w:type="dxa"/>
            <w:vAlign w:val="center"/>
          </w:tcPr>
          <w:p>
            <w:pPr>
              <w:pStyle w:val="14"/>
            </w:pPr>
            <w:r>
              <w:t>依据2024年度工作实施计划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年度重点工作的宣传印刷费</w:t>
            </w:r>
          </w:p>
        </w:tc>
        <w:tc>
          <w:tcPr>
            <w:tcW w:w="5386" w:type="dxa"/>
            <w:vAlign w:val="center"/>
          </w:tcPr>
          <w:p>
            <w:pPr>
              <w:pStyle w:val="14"/>
            </w:pPr>
            <w:r>
              <w:t>年度重点工作的宣传印刷费的资金数量</w:t>
            </w:r>
          </w:p>
        </w:tc>
        <w:tc>
          <w:tcPr>
            <w:tcW w:w="2268" w:type="dxa"/>
            <w:vAlign w:val="center"/>
          </w:tcPr>
          <w:p>
            <w:pPr>
              <w:pStyle w:val="14"/>
            </w:pPr>
            <w:r>
              <w:t>≤70000元</w:t>
            </w:r>
          </w:p>
        </w:tc>
        <w:tc>
          <w:tcPr>
            <w:tcW w:w="1276" w:type="dxa"/>
            <w:vAlign w:val="center"/>
          </w:tcPr>
          <w:p>
            <w:pPr>
              <w:pStyle w:val="14"/>
            </w:pPr>
            <w:r>
              <w:t>依据2024年度工作实施计划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年度重点工作的委托业务费</w:t>
            </w:r>
          </w:p>
        </w:tc>
        <w:tc>
          <w:tcPr>
            <w:tcW w:w="5386" w:type="dxa"/>
            <w:vAlign w:val="center"/>
          </w:tcPr>
          <w:p>
            <w:pPr>
              <w:pStyle w:val="14"/>
            </w:pPr>
            <w:r>
              <w:t>年度重点工作的委托业务费的资金数量</w:t>
            </w:r>
          </w:p>
        </w:tc>
        <w:tc>
          <w:tcPr>
            <w:tcW w:w="2268" w:type="dxa"/>
            <w:vAlign w:val="center"/>
          </w:tcPr>
          <w:p>
            <w:pPr>
              <w:pStyle w:val="14"/>
            </w:pPr>
            <w:r>
              <w:t>≤36000元</w:t>
            </w:r>
          </w:p>
        </w:tc>
        <w:tc>
          <w:tcPr>
            <w:tcW w:w="1276" w:type="dxa"/>
            <w:vAlign w:val="center"/>
          </w:tcPr>
          <w:p>
            <w:pPr>
              <w:pStyle w:val="14"/>
            </w:pPr>
            <w:r>
              <w:t>依据2024年度工作实施计划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2024年区金融防范工作完成达标率</w:t>
            </w:r>
          </w:p>
        </w:tc>
        <w:tc>
          <w:tcPr>
            <w:tcW w:w="5386" w:type="dxa"/>
            <w:vAlign w:val="center"/>
          </w:tcPr>
          <w:p>
            <w:pPr>
              <w:pStyle w:val="14"/>
            </w:pPr>
            <w:r>
              <w:t>年度内金融风险防范具体工作的完成质量情况</w:t>
            </w:r>
          </w:p>
        </w:tc>
        <w:tc>
          <w:tcPr>
            <w:tcW w:w="2268" w:type="dxa"/>
            <w:vAlign w:val="center"/>
          </w:tcPr>
          <w:p>
            <w:pPr>
              <w:pStyle w:val="14"/>
            </w:pPr>
            <w:r>
              <w:t>≥95%</w:t>
            </w:r>
          </w:p>
        </w:tc>
        <w:tc>
          <w:tcPr>
            <w:tcW w:w="1276" w:type="dxa"/>
            <w:vAlign w:val="center"/>
          </w:tcPr>
          <w:p>
            <w:pPr>
              <w:pStyle w:val="14"/>
            </w:pPr>
            <w:r>
              <w:t>依据2024年度工作实施计划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2024年区小额借贷贴息工作完成达标率</w:t>
            </w:r>
          </w:p>
        </w:tc>
        <w:tc>
          <w:tcPr>
            <w:tcW w:w="5386" w:type="dxa"/>
            <w:vAlign w:val="center"/>
          </w:tcPr>
          <w:p>
            <w:pPr>
              <w:pStyle w:val="14"/>
            </w:pPr>
            <w:r>
              <w:t>年度内小额借贷贴息工作具体工作的完成质量情况</w:t>
            </w:r>
          </w:p>
        </w:tc>
        <w:tc>
          <w:tcPr>
            <w:tcW w:w="2268" w:type="dxa"/>
            <w:vAlign w:val="center"/>
          </w:tcPr>
          <w:p>
            <w:pPr>
              <w:pStyle w:val="14"/>
            </w:pPr>
            <w:r>
              <w:t>≥95%</w:t>
            </w:r>
          </w:p>
        </w:tc>
        <w:tc>
          <w:tcPr>
            <w:tcW w:w="1276" w:type="dxa"/>
            <w:vAlign w:val="center"/>
          </w:tcPr>
          <w:p>
            <w:pPr>
              <w:pStyle w:val="14"/>
            </w:pPr>
            <w:r>
              <w:t>依据2024年度工作实施计划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5386" w:type="dxa"/>
            <w:vAlign w:val="center"/>
          </w:tcPr>
          <w:p>
            <w:pPr>
              <w:pStyle w:val="14"/>
            </w:pPr>
            <w:r>
              <w:t>年度内金融风险防范及区小额信贷等具体工作的完成时限情况</w:t>
            </w:r>
          </w:p>
        </w:tc>
        <w:tc>
          <w:tcPr>
            <w:tcW w:w="2268" w:type="dxa"/>
            <w:vAlign w:val="center"/>
          </w:tcPr>
          <w:p>
            <w:pPr>
              <w:pStyle w:val="14"/>
            </w:pPr>
            <w:r>
              <w:t>≥98%</w:t>
            </w:r>
          </w:p>
        </w:tc>
        <w:tc>
          <w:tcPr>
            <w:tcW w:w="1276" w:type="dxa"/>
            <w:vAlign w:val="center"/>
          </w:tcPr>
          <w:p>
            <w:pPr>
              <w:pStyle w:val="14"/>
            </w:pPr>
            <w:r>
              <w:t>依据2024年度工作实施计划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5386" w:type="dxa"/>
            <w:vAlign w:val="center"/>
          </w:tcPr>
          <w:p>
            <w:pPr>
              <w:pStyle w:val="14"/>
            </w:pPr>
            <w:r>
              <w:t>年度内各项工作的资金成本</w:t>
            </w:r>
          </w:p>
        </w:tc>
        <w:tc>
          <w:tcPr>
            <w:tcW w:w="2268" w:type="dxa"/>
            <w:vAlign w:val="center"/>
          </w:tcPr>
          <w:p>
            <w:pPr>
              <w:pStyle w:val="14"/>
            </w:pPr>
            <w:r>
              <w:t>≤12.6万元</w:t>
            </w:r>
          </w:p>
        </w:tc>
        <w:tc>
          <w:tcPr>
            <w:tcW w:w="1276" w:type="dxa"/>
            <w:vAlign w:val="center"/>
          </w:tcPr>
          <w:p>
            <w:pPr>
              <w:pStyle w:val="14"/>
            </w:pPr>
            <w:r>
              <w:t>依据2024年度工作实施计划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金融风险宣传率</w:t>
            </w:r>
          </w:p>
        </w:tc>
        <w:tc>
          <w:tcPr>
            <w:tcW w:w="5386" w:type="dxa"/>
            <w:vAlign w:val="center"/>
          </w:tcPr>
          <w:p>
            <w:pPr>
              <w:pStyle w:val="14"/>
            </w:pPr>
            <w:r>
              <w:t>金融风险防范，防范非法集资等政策宣传率</w:t>
            </w:r>
          </w:p>
        </w:tc>
        <w:tc>
          <w:tcPr>
            <w:tcW w:w="2268" w:type="dxa"/>
            <w:vAlign w:val="center"/>
          </w:tcPr>
          <w:p>
            <w:pPr>
              <w:pStyle w:val="14"/>
            </w:pPr>
            <w:r>
              <w:t>≥95%</w:t>
            </w:r>
          </w:p>
        </w:tc>
        <w:tc>
          <w:tcPr>
            <w:tcW w:w="1276" w:type="dxa"/>
            <w:vAlign w:val="center"/>
          </w:tcPr>
          <w:p>
            <w:pPr>
              <w:pStyle w:val="14"/>
            </w:pPr>
            <w:r>
              <w:t>依据2024年度工作实施计划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单位上级部门对本年工作满意度</w:t>
            </w:r>
          </w:p>
        </w:tc>
        <w:tc>
          <w:tcPr>
            <w:tcW w:w="5386" w:type="dxa"/>
            <w:vAlign w:val="center"/>
          </w:tcPr>
          <w:p>
            <w:pPr>
              <w:pStyle w:val="14"/>
            </w:pPr>
            <w:r>
              <w:t>考察上级部门对本年工作满意程度。</w:t>
            </w:r>
          </w:p>
        </w:tc>
        <w:tc>
          <w:tcPr>
            <w:tcW w:w="2268" w:type="dxa"/>
            <w:vAlign w:val="center"/>
          </w:tcPr>
          <w:p>
            <w:pPr>
              <w:pStyle w:val="14"/>
            </w:pPr>
            <w:r>
              <w:t>≥92%</w:t>
            </w:r>
          </w:p>
        </w:tc>
        <w:tc>
          <w:tcPr>
            <w:tcW w:w="1276" w:type="dxa"/>
            <w:vAlign w:val="center"/>
          </w:tcPr>
          <w:p>
            <w:pPr>
              <w:pStyle w:val="14"/>
            </w:pPr>
            <w:r>
              <w:t>问卷调查</w:t>
            </w:r>
          </w:p>
        </w:tc>
      </w:tr>
    </w:tbl>
    <w:p>
      <w:pPr>
        <w:sectPr>
          <w:type w:val="continuous"/>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440保定市徐水区地方金融监督管理局</w:t>
            </w:r>
          </w:p>
        </w:tc>
        <w:tc>
          <w:tcPr>
            <w:tcW w:w="7710" w:type="dxa"/>
            <w:gridSpan w:val="8"/>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6" w:type="dxa"/>
            <w:gridSpan w:val="7"/>
            <w:vAlign w:val="center"/>
          </w:tcPr>
          <w:p>
            <w:pPr>
              <w:pStyle w:val="12"/>
            </w:pPr>
            <w:r>
              <w:t>政府采购金额（当年部门预算安排资金）</w:t>
            </w:r>
          </w:p>
        </w:tc>
        <w:tc>
          <w:tcPr>
            <w:tcW w:w="964" w:type="dxa"/>
            <w:vMerge w:val="restart"/>
            <w:vAlign w:val="center"/>
          </w:tcPr>
          <w:p>
            <w:pPr>
              <w:pStyle w:val="12"/>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7.45</w:t>
            </w:r>
          </w:p>
        </w:tc>
        <w:tc>
          <w:tcPr>
            <w:tcW w:w="964" w:type="dxa"/>
            <w:vAlign w:val="center"/>
          </w:tcPr>
          <w:p>
            <w:pPr>
              <w:pStyle w:val="17"/>
            </w:pPr>
            <w:r>
              <w:t>7.45</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7.45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保定市徐水区地方金融监督管理局本级小计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7.45</w:t>
            </w:r>
          </w:p>
        </w:tc>
        <w:tc>
          <w:tcPr>
            <w:tcW w:w="964" w:type="dxa"/>
            <w:vAlign w:val="center"/>
          </w:tcPr>
          <w:p>
            <w:pPr>
              <w:pStyle w:val="17"/>
            </w:pPr>
            <w:r>
              <w:t>7.45</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7.45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公用经费项目一（三保）</w:t>
            </w:r>
          </w:p>
        </w:tc>
        <w:tc>
          <w:tcPr>
            <w:tcW w:w="964" w:type="dxa"/>
            <w:vAlign w:val="center"/>
          </w:tcPr>
          <w:p>
            <w:pPr>
              <w:pStyle w:val="13"/>
            </w:pPr>
            <w:r>
              <w:t>2.54</w:t>
            </w:r>
          </w:p>
        </w:tc>
        <w:tc>
          <w:tcPr>
            <w:tcW w:w="1134" w:type="dxa"/>
            <w:vAlign w:val="center"/>
          </w:tcPr>
          <w:p>
            <w:pPr>
              <w:pStyle w:val="14"/>
            </w:pPr>
            <w:r>
              <w:t>台式计算机</w:t>
            </w:r>
          </w:p>
        </w:tc>
        <w:tc>
          <w:tcPr>
            <w:tcW w:w="1134" w:type="dxa"/>
            <w:vAlign w:val="center"/>
          </w:tcPr>
          <w:p>
            <w:pPr>
              <w:pStyle w:val="14"/>
            </w:pPr>
            <w:r>
              <w:t>A02010105</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0.45</w:t>
            </w:r>
          </w:p>
        </w:tc>
        <w:tc>
          <w:tcPr>
            <w:tcW w:w="964" w:type="dxa"/>
            <w:vAlign w:val="center"/>
          </w:tcPr>
          <w:p>
            <w:pPr>
              <w:pStyle w:val="13"/>
            </w:pPr>
            <w:r>
              <w:t>0.45</w:t>
            </w:r>
          </w:p>
        </w:tc>
        <w:tc>
          <w:tcPr>
            <w:tcW w:w="964" w:type="dxa"/>
            <w:vAlign w:val="center"/>
          </w:tcPr>
          <w:p>
            <w:pPr>
              <w:pStyle w:val="13"/>
            </w:pPr>
            <w:r>
              <w:t>0.45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2024年金融局专项业务费</w:t>
            </w:r>
          </w:p>
        </w:tc>
        <w:tc>
          <w:tcPr>
            <w:tcW w:w="964" w:type="dxa"/>
            <w:vAlign w:val="center"/>
          </w:tcPr>
          <w:p>
            <w:pPr>
              <w:pStyle w:val="13"/>
            </w:pPr>
            <w:r>
              <w:t>12.60</w:t>
            </w:r>
          </w:p>
        </w:tc>
        <w:tc>
          <w:tcPr>
            <w:tcW w:w="1134" w:type="dxa"/>
            <w:vAlign w:val="center"/>
          </w:tcPr>
          <w:p>
            <w:pPr>
              <w:pStyle w:val="14"/>
            </w:pPr>
            <w:r>
              <w:t>其他印刷服务</w:t>
            </w:r>
          </w:p>
        </w:tc>
        <w:tc>
          <w:tcPr>
            <w:tcW w:w="1134" w:type="dxa"/>
            <w:vAlign w:val="center"/>
          </w:tcPr>
          <w:p>
            <w:pPr>
              <w:pStyle w:val="14"/>
            </w:pPr>
            <w:r>
              <w:t>C23090199</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7.00</w:t>
            </w:r>
          </w:p>
        </w:tc>
        <w:tc>
          <w:tcPr>
            <w:tcW w:w="964" w:type="dxa"/>
            <w:vAlign w:val="center"/>
          </w:tcPr>
          <w:p>
            <w:pPr>
              <w:pStyle w:val="13"/>
            </w:pPr>
            <w:r>
              <w:t>7.00</w:t>
            </w:r>
          </w:p>
        </w:tc>
        <w:tc>
          <w:tcPr>
            <w:tcW w:w="964" w:type="dxa"/>
            <w:vAlign w:val="center"/>
          </w:tcPr>
          <w:p>
            <w:pPr>
              <w:pStyle w:val="13"/>
            </w:pPr>
            <w:r>
              <w:t>7.00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7.00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spacing w:line="500" w:lineRule="exact"/>
        <w:ind w:firstLine="560"/>
      </w:pPr>
      <w:r>
        <w:rPr>
          <w:rFonts w:eastAsia="方正仿宋_GBK"/>
          <w:color w:val="000000"/>
          <w:sz w:val="28"/>
        </w:rPr>
        <w:t>保定市徐水区地方金融监督管理局（含所属单位）上年末固定资产金额为0.00万元（详见下表）。本年度拟购置固定资产总额为0.00万元，已按要求列入政府采购预算，详见政府采购预算表。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440保定市徐水区地方金融监督管理局</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2"/>
      </w:pPr>
      <w:bookmarkStart w:id="18" w:name="_Toc_3_3_0000000019"/>
      <w:r>
        <w:rPr>
          <w:rFonts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roman"/>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61D"/>
    <w:rsid w:val="00261023"/>
    <w:rsid w:val="007B4C0F"/>
    <w:rsid w:val="0080361D"/>
    <w:rsid w:val="00AB08B0"/>
    <w:rsid w:val="00AD107C"/>
    <w:rsid w:val="00D15C74"/>
    <w:rsid w:val="71B06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Balloon Text"/>
    <w:basedOn w:val="1"/>
    <w:link w:val="27"/>
    <w:semiHidden/>
    <w:unhideWhenUsed/>
    <w:uiPriority w:val="99"/>
    <w:rPr>
      <w:sz w:val="18"/>
      <w:szCs w:val="18"/>
    </w:rPr>
  </w:style>
  <w:style w:type="paragraph" w:styleId="4">
    <w:name w:val="toc 1"/>
    <w:basedOn w:val="1"/>
    <w:next w:val="1"/>
    <w:qFormat/>
    <w:uiPriority w:val="0"/>
    <w:pPr>
      <w:spacing w:before="120"/>
      <w:ind w:firstLine="560"/>
    </w:pPr>
    <w:rPr>
      <w:rFonts w:eastAsia="方正仿宋_GBK"/>
      <w:color w:val="000000"/>
      <w:sz w:val="28"/>
    </w:r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character" w:customStyle="1" w:styleId="27">
    <w:name w:val="批注框文本 Char"/>
    <w:basedOn w:val="8"/>
    <w:link w:val="3"/>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2024-04-09T10:34:46Z</dcterms:created>
  <dcterms:modified xsi:type="dcterms:W3CDTF">2024-04-09T02:34:46Z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2024-04-09T10:34:45Z</dcterms:created>
  <dcterms:modified xsi:type="dcterms:W3CDTF">2024-04-09T02:34:45Z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2024-04-09T10:34:45Z</dcterms:created>
  <dcterms:modified xsi:type="dcterms:W3CDTF">2024-04-09T02:34:45Z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2024-04-09T10:34:45Z</dcterms:created>
  <dcterms:modified xsi:type="dcterms:W3CDTF">2024-04-09T02:34:45Z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2024-04-09T10:34:46Z</dcterms:created>
  <dcterms:modified xsi:type="dcterms:W3CDTF">2024-04-09T02:34:46Z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E6EAF530-0ABB-4FF2-8B78-21FDB61BA3B3}">
  <ds:schemaRefs/>
</ds:datastoreItem>
</file>

<file path=customXml/itemProps11.xml><?xml version="1.0" encoding="utf-8"?>
<ds:datastoreItem xmlns:ds="http://schemas.openxmlformats.org/officeDocument/2006/customXml" ds:itemID="{2C9041CC-3175-42CE-B157-DB26283F3A9C}">
  <ds:schemaRefs/>
</ds:datastoreItem>
</file>

<file path=customXml/itemProps12.xml><?xml version="1.0" encoding="utf-8"?>
<ds:datastoreItem xmlns:ds="http://schemas.openxmlformats.org/officeDocument/2006/customXml" ds:itemID="{D467578E-3C2D-4BE6-B80B-18A5D0D90BEE}">
  <ds:schemaRefs/>
</ds:datastoreItem>
</file>

<file path=customXml/itemProps2.xml><?xml version="1.0" encoding="utf-8"?>
<ds:datastoreItem xmlns:ds="http://schemas.openxmlformats.org/officeDocument/2006/customXml" ds:itemID="{B4299A2A-FAEB-4DDB-B4EE-202493D95CA7}">
  <ds:schemaRefs/>
</ds:datastoreItem>
</file>

<file path=customXml/itemProps3.xml><?xml version="1.0" encoding="utf-8"?>
<ds:datastoreItem xmlns:ds="http://schemas.openxmlformats.org/officeDocument/2006/customXml" ds:itemID="{15B3BBE8-9D29-45E1-8208-5CA97F4D1B68}">
  <ds:schemaRefs/>
</ds:datastoreItem>
</file>

<file path=customXml/itemProps4.xml><?xml version="1.0" encoding="utf-8"?>
<ds:datastoreItem xmlns:ds="http://schemas.openxmlformats.org/officeDocument/2006/customXml" ds:itemID="{129D649D-A27A-4CEE-97B7-B741B02EF685}">
  <ds:schemaRefs/>
</ds:datastoreItem>
</file>

<file path=customXml/itemProps5.xml><?xml version="1.0" encoding="utf-8"?>
<ds:datastoreItem xmlns:ds="http://schemas.openxmlformats.org/officeDocument/2006/customXml" ds:itemID="{A215C616-8B40-4B64-960D-FD3DBEDE9726}">
  <ds:schemaRefs/>
</ds:datastoreItem>
</file>

<file path=customXml/itemProps6.xml><?xml version="1.0" encoding="utf-8"?>
<ds:datastoreItem xmlns:ds="http://schemas.openxmlformats.org/officeDocument/2006/customXml" ds:itemID="{CA4EAAD7-75CE-476D-87F9-BF3B916FA791}">
  <ds:schemaRefs/>
</ds:datastoreItem>
</file>

<file path=customXml/itemProps7.xml><?xml version="1.0" encoding="utf-8"?>
<ds:datastoreItem xmlns:ds="http://schemas.openxmlformats.org/officeDocument/2006/customXml" ds:itemID="{885B5DD6-2DEF-4F6D-968E-94D8605BE1DC}">
  <ds:schemaRefs/>
</ds:datastoreItem>
</file>

<file path=customXml/itemProps8.xml><?xml version="1.0" encoding="utf-8"?>
<ds:datastoreItem xmlns:ds="http://schemas.openxmlformats.org/officeDocument/2006/customXml" ds:itemID="{BC322918-69FC-4D72-90A6-523FE09913DC}">
  <ds:schemaRefs/>
</ds:datastoreItem>
</file>

<file path=customXml/itemProps9.xml><?xml version="1.0" encoding="utf-8"?>
<ds:datastoreItem xmlns:ds="http://schemas.openxmlformats.org/officeDocument/2006/customXml" ds:itemID="{EA7ABA7B-C07C-4D60-A47F-A233DAA4EB0C}">
  <ds:schemaRefs/>
</ds:datastoreItem>
</file>

<file path=docProps/app.xml><?xml version="1.0" encoding="utf-8"?>
<Properties xmlns="http://schemas.openxmlformats.org/officeDocument/2006/extended-properties" xmlns:vt="http://schemas.openxmlformats.org/officeDocument/2006/docPropsVTypes">
  <Template>Normal</Template>
  <Pages>1</Pages>
  <Words>2166</Words>
  <Characters>12348</Characters>
  <Lines>102</Lines>
  <Paragraphs>28</Paragraphs>
  <TotalTime>7</TotalTime>
  <ScaleCrop>false</ScaleCrop>
  <LinksUpToDate>false</LinksUpToDate>
  <CharactersWithSpaces>14486</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2024-04-09T02:26:00Z</dcterms:created>
  <dc:creator>Administrator</dc:creator>
  <cp:lastModifiedBy>Administrator</cp:lastModifiedBy>
  <cp:lastPrinted>2024-04-09T02:34:00Z</cp:lastPrinted>
  <dcterms:modified xsi:type="dcterms:W3CDTF">2024-08-21T08:09:41Z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0DAF19F3A245490AB5D6D8615CFA277F</vt:lpwstr>
  </property>
</Properties>
</file>